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5DDA4" w14:textId="19321F41" w:rsidR="000D3ACD" w:rsidRDefault="000D3ACD" w:rsidP="000D3ACD">
      <w:pPr>
        <w:jc w:val="both"/>
        <w:rPr>
          <w:rFonts w:ascii="Times New Roman" w:hAnsi="Times New Roman" w:cs="Times New Roman"/>
          <w:b/>
          <w:sz w:val="24"/>
          <w:szCs w:val="24"/>
        </w:rPr>
      </w:pPr>
    </w:p>
    <w:p w14:paraId="14B1A62B" w14:textId="2E6561AB" w:rsidR="008220DD" w:rsidRPr="008220DD" w:rsidRDefault="008220DD" w:rsidP="00D87245">
      <w:pPr>
        <w:ind w:left="426"/>
        <w:jc w:val="both"/>
        <w:rPr>
          <w:rFonts w:ascii="Times New Roman" w:hAnsi="Times New Roman" w:cs="Times New Roman"/>
          <w:b/>
          <w:sz w:val="24"/>
          <w:szCs w:val="24"/>
        </w:rPr>
      </w:pPr>
      <w:r w:rsidRPr="008220DD">
        <w:rPr>
          <w:rFonts w:ascii="Times New Roman" w:hAnsi="Times New Roman" w:cs="Times New Roman"/>
          <w:b/>
          <w:sz w:val="24"/>
          <w:szCs w:val="24"/>
        </w:rPr>
        <w:t>S</w:t>
      </w:r>
      <w:r w:rsidR="00D850F3">
        <w:rPr>
          <w:rFonts w:ascii="Times New Roman" w:hAnsi="Times New Roman" w:cs="Times New Roman"/>
          <w:b/>
          <w:sz w:val="24"/>
          <w:szCs w:val="24"/>
        </w:rPr>
        <w:t>UPUESTO</w:t>
      </w:r>
      <w:r w:rsidRPr="008220DD">
        <w:rPr>
          <w:rFonts w:ascii="Times New Roman" w:hAnsi="Times New Roman" w:cs="Times New Roman"/>
          <w:b/>
          <w:sz w:val="24"/>
          <w:szCs w:val="24"/>
        </w:rPr>
        <w:t xml:space="preserve"> PRÁ</w:t>
      </w:r>
      <w:r w:rsidR="00D850F3">
        <w:rPr>
          <w:rFonts w:ascii="Times New Roman" w:hAnsi="Times New Roman" w:cs="Times New Roman"/>
          <w:b/>
          <w:sz w:val="24"/>
          <w:szCs w:val="24"/>
        </w:rPr>
        <w:t>CTICO</w:t>
      </w:r>
      <w:r w:rsidRPr="008220DD">
        <w:rPr>
          <w:rFonts w:ascii="Times New Roman" w:hAnsi="Times New Roman" w:cs="Times New Roman"/>
          <w:b/>
          <w:sz w:val="24"/>
          <w:szCs w:val="24"/>
        </w:rPr>
        <w:t xml:space="preserve"> DE URBANISMO I</w:t>
      </w:r>
    </w:p>
    <w:p w14:paraId="7E4082AE" w14:textId="7AB0F87F" w:rsidR="008220DD" w:rsidRDefault="00D850F3" w:rsidP="00D87245">
      <w:pPr>
        <w:ind w:left="426"/>
        <w:jc w:val="both"/>
        <w:rPr>
          <w:rFonts w:ascii="Times New Roman" w:hAnsi="Times New Roman" w:cs="Times New Roman"/>
          <w:b/>
          <w:sz w:val="24"/>
          <w:szCs w:val="24"/>
        </w:rPr>
      </w:pPr>
      <w:r>
        <w:rPr>
          <w:rFonts w:ascii="Times New Roman" w:hAnsi="Times New Roman" w:cs="Times New Roman"/>
          <w:b/>
          <w:sz w:val="24"/>
          <w:szCs w:val="24"/>
        </w:rPr>
        <w:t>Enunciado</w:t>
      </w:r>
    </w:p>
    <w:p w14:paraId="50021373" w14:textId="77777777" w:rsidR="00D850F3" w:rsidRPr="008220DD" w:rsidRDefault="00D850F3" w:rsidP="00D87245">
      <w:pPr>
        <w:ind w:left="426"/>
        <w:jc w:val="both"/>
        <w:rPr>
          <w:rFonts w:ascii="Times New Roman" w:hAnsi="Times New Roman" w:cs="Times New Roman"/>
          <w:b/>
          <w:sz w:val="24"/>
          <w:szCs w:val="24"/>
        </w:rPr>
      </w:pPr>
      <w:bookmarkStart w:id="0" w:name="_GoBack"/>
      <w:bookmarkEnd w:id="0"/>
    </w:p>
    <w:p w14:paraId="0BE23CDC" w14:textId="77777777" w:rsidR="008220DD" w:rsidRPr="008220DD" w:rsidRDefault="008220DD" w:rsidP="00D87245">
      <w:pPr>
        <w:ind w:left="426"/>
        <w:jc w:val="both"/>
        <w:rPr>
          <w:rFonts w:ascii="Times New Roman" w:hAnsi="Times New Roman" w:cs="Times New Roman"/>
          <w:b/>
          <w:sz w:val="24"/>
          <w:szCs w:val="24"/>
        </w:rPr>
      </w:pPr>
      <w:r w:rsidRPr="008220DD">
        <w:rPr>
          <w:rFonts w:ascii="Times New Roman" w:hAnsi="Times New Roman" w:cs="Times New Roman"/>
          <w:b/>
          <w:sz w:val="24"/>
          <w:szCs w:val="24"/>
          <w:u w:val="single"/>
        </w:rPr>
        <w:t>PLAN PARCIAL USO MIXTO. Sistemas generales, aprovechamiento, dotaciones locales, reajuste de aprovechamiento, reservas de vivienda protegida, aplicación de prima de aprovechamiento</w:t>
      </w:r>
      <w:r w:rsidRPr="008220DD">
        <w:rPr>
          <w:rFonts w:ascii="Times New Roman" w:hAnsi="Times New Roman" w:cs="Times New Roman"/>
          <w:b/>
          <w:sz w:val="24"/>
          <w:szCs w:val="24"/>
        </w:rPr>
        <w:t>.</w:t>
      </w:r>
    </w:p>
    <w:p w14:paraId="014569EA" w14:textId="77777777" w:rsidR="008220DD" w:rsidRPr="008220DD" w:rsidRDefault="008220DD" w:rsidP="00D87245">
      <w:pPr>
        <w:ind w:left="426"/>
        <w:jc w:val="both"/>
        <w:rPr>
          <w:rFonts w:ascii="Times New Roman" w:hAnsi="Times New Roman" w:cs="Times New Roman"/>
          <w:b/>
          <w:sz w:val="24"/>
          <w:szCs w:val="24"/>
        </w:rPr>
      </w:pPr>
      <w:r w:rsidRPr="008220DD">
        <w:rPr>
          <w:rFonts w:ascii="Times New Roman" w:hAnsi="Times New Roman" w:cs="Times New Roman"/>
          <w:b/>
          <w:sz w:val="24"/>
          <w:szCs w:val="24"/>
        </w:rPr>
        <w:t>En un suelo urbanizable sin sectorizar clasificado en el PGMO, de un municipio de más de 100.000 habitantes, aprobado en 2009, como de uso mixto, residencial y actividad económica en una proporción de ocupación de suelo del 80 y 20% respectivamente, con un aprovechamiento de referencia de 0,40m2/m2.</w:t>
      </w:r>
    </w:p>
    <w:p w14:paraId="5EFCED01" w14:textId="77777777" w:rsidR="008220DD" w:rsidRPr="008220DD" w:rsidRDefault="008220DD" w:rsidP="00D87245">
      <w:pPr>
        <w:ind w:left="426"/>
        <w:jc w:val="both"/>
        <w:rPr>
          <w:rFonts w:ascii="Times New Roman" w:hAnsi="Times New Roman" w:cs="Times New Roman"/>
          <w:b/>
          <w:sz w:val="24"/>
          <w:szCs w:val="24"/>
        </w:rPr>
      </w:pPr>
      <w:r w:rsidRPr="008220DD">
        <w:rPr>
          <w:rFonts w:ascii="Times New Roman" w:hAnsi="Times New Roman" w:cs="Times New Roman"/>
          <w:b/>
          <w:sz w:val="24"/>
          <w:szCs w:val="24"/>
        </w:rPr>
        <w:t>La superficie del sector a delimitar será de 10has y se le vincularán los sistemas generales, en la cuantía requerida para cumplir con el estándar fijado por la LOTURM y distribuidos proporcionalmente a los porcentajes de ocupación de suelo de ambos usos.</w:t>
      </w:r>
    </w:p>
    <w:p w14:paraId="281D25A5" w14:textId="77777777" w:rsidR="008220DD" w:rsidRDefault="008220DD" w:rsidP="00D87245">
      <w:pPr>
        <w:ind w:left="426"/>
        <w:jc w:val="both"/>
        <w:rPr>
          <w:rFonts w:ascii="Times New Roman" w:hAnsi="Times New Roman" w:cs="Times New Roman"/>
          <w:b/>
          <w:sz w:val="24"/>
          <w:szCs w:val="24"/>
        </w:rPr>
      </w:pPr>
    </w:p>
    <w:p w14:paraId="3F09D142" w14:textId="77777777" w:rsidR="008220DD" w:rsidRPr="008220DD" w:rsidRDefault="008220DD" w:rsidP="008220DD">
      <w:pPr>
        <w:jc w:val="both"/>
        <w:rPr>
          <w:rFonts w:ascii="Times New Roman" w:hAnsi="Times New Roman" w:cs="Times New Roman"/>
          <w:b/>
          <w:sz w:val="24"/>
          <w:szCs w:val="24"/>
        </w:rPr>
      </w:pPr>
    </w:p>
    <w:p w14:paraId="0139E790" w14:textId="77777777" w:rsidR="008220DD" w:rsidRPr="008220DD" w:rsidRDefault="008220DD" w:rsidP="008220DD">
      <w:pPr>
        <w:numPr>
          <w:ilvl w:val="0"/>
          <w:numId w:val="1"/>
        </w:numPr>
        <w:jc w:val="both"/>
        <w:rPr>
          <w:rFonts w:ascii="Times New Roman" w:hAnsi="Times New Roman" w:cs="Times New Roman"/>
          <w:b/>
          <w:sz w:val="24"/>
          <w:szCs w:val="24"/>
          <w:u w:val="single"/>
        </w:rPr>
      </w:pPr>
      <w:r w:rsidRPr="008220DD">
        <w:rPr>
          <w:rFonts w:ascii="Times New Roman" w:hAnsi="Times New Roman" w:cs="Times New Roman"/>
          <w:b/>
          <w:sz w:val="24"/>
          <w:szCs w:val="24"/>
          <w:u w:val="single"/>
        </w:rPr>
        <w:t>Calcular la cuantía de suelo para Sistemas generales requeridos por la LOTURM.</w:t>
      </w:r>
    </w:p>
    <w:p w14:paraId="257530C4" w14:textId="77777777" w:rsidR="008220DD" w:rsidRPr="008220DD" w:rsidRDefault="008220DD" w:rsidP="008220DD">
      <w:pPr>
        <w:ind w:firstLine="360"/>
        <w:jc w:val="both"/>
        <w:rPr>
          <w:rFonts w:ascii="Times New Roman" w:hAnsi="Times New Roman" w:cs="Times New Roman"/>
          <w:sz w:val="24"/>
          <w:szCs w:val="24"/>
        </w:rPr>
      </w:pPr>
      <w:r w:rsidRPr="008220DD">
        <w:rPr>
          <w:rFonts w:ascii="Times New Roman" w:hAnsi="Times New Roman" w:cs="Times New Roman"/>
          <w:sz w:val="24"/>
          <w:szCs w:val="24"/>
        </w:rPr>
        <w:t>(</w:t>
      </w:r>
      <w:proofErr w:type="gramStart"/>
      <w:r w:rsidRPr="008220DD">
        <w:rPr>
          <w:rFonts w:ascii="Times New Roman" w:hAnsi="Times New Roman" w:cs="Times New Roman"/>
          <w:sz w:val="24"/>
          <w:szCs w:val="24"/>
        </w:rPr>
        <w:t>art</w:t>
      </w:r>
      <w:proofErr w:type="gramEnd"/>
      <w:r w:rsidRPr="008220DD">
        <w:rPr>
          <w:rFonts w:ascii="Times New Roman" w:hAnsi="Times New Roman" w:cs="Times New Roman"/>
          <w:sz w:val="24"/>
          <w:szCs w:val="24"/>
        </w:rPr>
        <w:t>. 116)</w:t>
      </w:r>
    </w:p>
    <w:p w14:paraId="32E5C8B2" w14:textId="34512477" w:rsidR="00542FF1" w:rsidRDefault="00542FF1" w:rsidP="000D3ACD">
      <w:pPr>
        <w:jc w:val="both"/>
        <w:rPr>
          <w:rFonts w:ascii="Times New Roman" w:hAnsi="Times New Roman" w:cs="Times New Roman"/>
          <w:b/>
          <w:sz w:val="24"/>
          <w:szCs w:val="24"/>
        </w:rPr>
      </w:pPr>
    </w:p>
    <w:p w14:paraId="4A7FE57E" w14:textId="4C9F440E" w:rsidR="008220DD" w:rsidRPr="008220DD" w:rsidRDefault="008220DD" w:rsidP="008220DD">
      <w:pPr>
        <w:pStyle w:val="Prrafodelista"/>
        <w:numPr>
          <w:ilvl w:val="0"/>
          <w:numId w:val="1"/>
        </w:numPr>
        <w:jc w:val="both"/>
        <w:rPr>
          <w:rFonts w:ascii="Times New Roman" w:hAnsi="Times New Roman" w:cs="Times New Roman"/>
          <w:b/>
          <w:sz w:val="24"/>
          <w:szCs w:val="24"/>
          <w:u w:val="single"/>
        </w:rPr>
      </w:pPr>
      <w:r w:rsidRPr="008220DD">
        <w:rPr>
          <w:rFonts w:ascii="Times New Roman" w:hAnsi="Times New Roman" w:cs="Times New Roman"/>
          <w:b/>
          <w:sz w:val="24"/>
          <w:szCs w:val="24"/>
          <w:u w:val="single"/>
        </w:rPr>
        <w:t>Calculo del Aprovechamiento resultante</w:t>
      </w:r>
      <w:r>
        <w:rPr>
          <w:rFonts w:ascii="Times New Roman" w:hAnsi="Times New Roman" w:cs="Times New Roman"/>
          <w:b/>
          <w:sz w:val="24"/>
          <w:szCs w:val="24"/>
        </w:rPr>
        <w:t>.</w:t>
      </w:r>
    </w:p>
    <w:p w14:paraId="2794009F" w14:textId="77777777" w:rsidR="008220DD" w:rsidRPr="008220DD" w:rsidRDefault="008220DD" w:rsidP="00D87245">
      <w:pPr>
        <w:ind w:firstLine="708"/>
        <w:jc w:val="both"/>
        <w:rPr>
          <w:rFonts w:ascii="Times New Roman" w:hAnsi="Times New Roman" w:cs="Times New Roman"/>
          <w:sz w:val="24"/>
          <w:szCs w:val="24"/>
          <w:u w:val="single"/>
        </w:rPr>
      </w:pPr>
      <w:r w:rsidRPr="008220DD">
        <w:rPr>
          <w:rFonts w:ascii="Times New Roman" w:hAnsi="Times New Roman" w:cs="Times New Roman"/>
          <w:sz w:val="24"/>
          <w:szCs w:val="24"/>
        </w:rPr>
        <w:t>(</w:t>
      </w:r>
      <w:proofErr w:type="gramStart"/>
      <w:r w:rsidRPr="008220DD">
        <w:rPr>
          <w:rFonts w:ascii="Times New Roman" w:hAnsi="Times New Roman" w:cs="Times New Roman"/>
          <w:sz w:val="24"/>
          <w:szCs w:val="24"/>
        </w:rPr>
        <w:t>art</w:t>
      </w:r>
      <w:proofErr w:type="gramEnd"/>
      <w:r w:rsidRPr="008220DD">
        <w:rPr>
          <w:rFonts w:ascii="Times New Roman" w:hAnsi="Times New Roman" w:cs="Times New Roman"/>
          <w:sz w:val="24"/>
          <w:szCs w:val="24"/>
        </w:rPr>
        <w:t>. 124 d)</w:t>
      </w:r>
    </w:p>
    <w:p w14:paraId="428A30D3" w14:textId="77777777" w:rsidR="008220DD" w:rsidRDefault="008220DD" w:rsidP="000D3ACD">
      <w:pPr>
        <w:jc w:val="both"/>
        <w:rPr>
          <w:rFonts w:ascii="Times New Roman" w:hAnsi="Times New Roman" w:cs="Times New Roman"/>
          <w:b/>
          <w:sz w:val="24"/>
          <w:szCs w:val="24"/>
        </w:rPr>
      </w:pPr>
    </w:p>
    <w:p w14:paraId="633EA3D1" w14:textId="77777777" w:rsidR="008220DD" w:rsidRPr="008220DD" w:rsidRDefault="008220DD" w:rsidP="008220DD">
      <w:pPr>
        <w:numPr>
          <w:ilvl w:val="0"/>
          <w:numId w:val="1"/>
        </w:numPr>
        <w:jc w:val="both"/>
        <w:rPr>
          <w:rFonts w:ascii="Times New Roman" w:hAnsi="Times New Roman" w:cs="Times New Roman"/>
          <w:b/>
          <w:sz w:val="24"/>
          <w:szCs w:val="24"/>
        </w:rPr>
      </w:pPr>
      <w:r w:rsidRPr="008220DD">
        <w:rPr>
          <w:rFonts w:ascii="Times New Roman" w:hAnsi="Times New Roman" w:cs="Times New Roman"/>
          <w:b/>
          <w:sz w:val="24"/>
          <w:szCs w:val="24"/>
          <w:u w:val="single"/>
        </w:rPr>
        <w:t>Cálculo de dotaciones locales</w:t>
      </w:r>
      <w:r w:rsidRPr="008220DD">
        <w:rPr>
          <w:rFonts w:ascii="Times New Roman" w:hAnsi="Times New Roman" w:cs="Times New Roman"/>
          <w:b/>
          <w:sz w:val="24"/>
          <w:szCs w:val="24"/>
        </w:rPr>
        <w:t xml:space="preserve">. </w:t>
      </w:r>
    </w:p>
    <w:p w14:paraId="0FECDD2B" w14:textId="77777777" w:rsidR="00D87245" w:rsidRDefault="008220DD" w:rsidP="00D87245">
      <w:pPr>
        <w:ind w:left="709"/>
        <w:jc w:val="both"/>
        <w:rPr>
          <w:rFonts w:ascii="Times New Roman" w:hAnsi="Times New Roman" w:cs="Times New Roman"/>
          <w:sz w:val="24"/>
          <w:szCs w:val="24"/>
        </w:rPr>
      </w:pPr>
      <w:r w:rsidRPr="008220DD">
        <w:rPr>
          <w:rFonts w:ascii="Times New Roman" w:hAnsi="Times New Roman" w:cs="Times New Roman"/>
          <w:b/>
          <w:sz w:val="24"/>
          <w:szCs w:val="24"/>
        </w:rPr>
        <w:t>Calcular la superficie de suelo destinada a dotaciones locales de espacios libres y equipamientos y cuál sería la superficie mínima de suelo de cesión dotacional según la LOTURM.</w:t>
      </w:r>
      <w:r w:rsidR="00D87245" w:rsidRPr="00D87245">
        <w:rPr>
          <w:rFonts w:ascii="Times New Roman" w:hAnsi="Times New Roman" w:cs="Times New Roman"/>
          <w:sz w:val="24"/>
          <w:szCs w:val="24"/>
        </w:rPr>
        <w:t xml:space="preserve"> </w:t>
      </w:r>
    </w:p>
    <w:p w14:paraId="07D85482" w14:textId="0CED8627" w:rsidR="00D87245" w:rsidRPr="008220DD" w:rsidRDefault="00D87245" w:rsidP="00D87245">
      <w:pPr>
        <w:ind w:left="851"/>
        <w:jc w:val="both"/>
        <w:rPr>
          <w:rFonts w:ascii="Times New Roman" w:hAnsi="Times New Roman" w:cs="Times New Roman"/>
          <w:sz w:val="24"/>
          <w:szCs w:val="24"/>
          <w:u w:val="single"/>
        </w:rPr>
      </w:pPr>
      <w:r w:rsidRPr="008220DD">
        <w:rPr>
          <w:rFonts w:ascii="Times New Roman" w:hAnsi="Times New Roman" w:cs="Times New Roman"/>
          <w:sz w:val="24"/>
          <w:szCs w:val="24"/>
        </w:rPr>
        <w:t>(</w:t>
      </w:r>
      <w:proofErr w:type="gramStart"/>
      <w:r w:rsidRPr="008220DD">
        <w:rPr>
          <w:rFonts w:ascii="Times New Roman" w:hAnsi="Times New Roman" w:cs="Times New Roman"/>
          <w:sz w:val="24"/>
          <w:szCs w:val="24"/>
        </w:rPr>
        <w:t>art</w:t>
      </w:r>
      <w:proofErr w:type="gramEnd"/>
      <w:r w:rsidRPr="008220DD">
        <w:rPr>
          <w:rFonts w:ascii="Times New Roman" w:hAnsi="Times New Roman" w:cs="Times New Roman"/>
          <w:sz w:val="24"/>
          <w:szCs w:val="24"/>
        </w:rPr>
        <w:t>. 124 e y f)</w:t>
      </w:r>
    </w:p>
    <w:p w14:paraId="3FC254CF" w14:textId="77777777" w:rsidR="008220DD" w:rsidRPr="008220DD" w:rsidRDefault="008220DD" w:rsidP="00D87245">
      <w:pPr>
        <w:ind w:left="709"/>
        <w:jc w:val="both"/>
        <w:rPr>
          <w:rFonts w:ascii="Times New Roman" w:hAnsi="Times New Roman" w:cs="Times New Roman"/>
          <w:b/>
          <w:sz w:val="24"/>
          <w:szCs w:val="24"/>
        </w:rPr>
      </w:pPr>
    </w:p>
    <w:p w14:paraId="52223398" w14:textId="77777777" w:rsidR="008220DD" w:rsidRPr="008220DD" w:rsidRDefault="008220DD" w:rsidP="008220DD">
      <w:pPr>
        <w:jc w:val="both"/>
        <w:rPr>
          <w:rFonts w:ascii="Times New Roman" w:hAnsi="Times New Roman" w:cs="Times New Roman"/>
          <w:b/>
          <w:sz w:val="24"/>
          <w:szCs w:val="24"/>
          <w:u w:val="single"/>
        </w:rPr>
      </w:pPr>
    </w:p>
    <w:p w14:paraId="39EF47BE" w14:textId="1DE9B6CC" w:rsidR="008220DD" w:rsidRPr="008220DD" w:rsidRDefault="000E1D11" w:rsidP="008220DD">
      <w:pPr>
        <w:numPr>
          <w:ilvl w:val="0"/>
          <w:numId w:val="1"/>
        </w:numPr>
        <w:jc w:val="both"/>
        <w:rPr>
          <w:rFonts w:ascii="Times New Roman" w:hAnsi="Times New Roman" w:cs="Times New Roman"/>
          <w:b/>
          <w:sz w:val="24"/>
          <w:szCs w:val="24"/>
        </w:rPr>
      </w:pPr>
      <w:r>
        <w:rPr>
          <w:rFonts w:ascii="Times New Roman" w:hAnsi="Times New Roman" w:cs="Times New Roman"/>
          <w:b/>
          <w:sz w:val="24"/>
          <w:szCs w:val="24"/>
          <w:u w:val="single"/>
        </w:rPr>
        <w:t>A</w:t>
      </w:r>
      <w:r w:rsidR="008220DD" w:rsidRPr="00D87245">
        <w:rPr>
          <w:rFonts w:ascii="Times New Roman" w:hAnsi="Times New Roman" w:cs="Times New Roman"/>
          <w:b/>
          <w:sz w:val="24"/>
          <w:szCs w:val="24"/>
          <w:u w:val="single"/>
        </w:rPr>
        <w:t>juste por incremento de aprovechamiento</w:t>
      </w:r>
      <w:r w:rsidR="008220DD" w:rsidRPr="008220DD">
        <w:rPr>
          <w:rFonts w:ascii="Times New Roman" w:hAnsi="Times New Roman" w:cs="Times New Roman"/>
          <w:b/>
          <w:sz w:val="24"/>
          <w:szCs w:val="24"/>
        </w:rPr>
        <w:t>.</w:t>
      </w:r>
    </w:p>
    <w:p w14:paraId="3AE60284" w14:textId="37E32412" w:rsidR="00D87245" w:rsidRDefault="000E1D11" w:rsidP="00D87245">
      <w:pPr>
        <w:ind w:left="709"/>
        <w:jc w:val="both"/>
        <w:rPr>
          <w:rFonts w:ascii="Times New Roman" w:hAnsi="Times New Roman" w:cs="Times New Roman"/>
          <w:sz w:val="24"/>
          <w:szCs w:val="24"/>
        </w:rPr>
      </w:pPr>
      <w:r>
        <w:rPr>
          <w:rFonts w:ascii="Times New Roman" w:hAnsi="Times New Roman" w:cs="Times New Roman"/>
          <w:b/>
          <w:sz w:val="24"/>
          <w:szCs w:val="24"/>
        </w:rPr>
        <w:t>A</w:t>
      </w:r>
      <w:r w:rsidR="008220DD" w:rsidRPr="008220DD">
        <w:rPr>
          <w:rFonts w:ascii="Times New Roman" w:hAnsi="Times New Roman" w:cs="Times New Roman"/>
          <w:b/>
          <w:sz w:val="24"/>
          <w:szCs w:val="24"/>
        </w:rPr>
        <w:t>juste de aprovechamiento y dotaciones incrementando el máximo permitido por la LOTURM. Calcular el aprovechamiento y las dotaciones resultantes.</w:t>
      </w:r>
      <w:r w:rsidR="00D87245" w:rsidRPr="00D87245">
        <w:rPr>
          <w:rFonts w:ascii="Times New Roman" w:hAnsi="Times New Roman" w:cs="Times New Roman"/>
          <w:sz w:val="24"/>
          <w:szCs w:val="24"/>
        </w:rPr>
        <w:t xml:space="preserve"> </w:t>
      </w:r>
    </w:p>
    <w:p w14:paraId="01871725" w14:textId="24FB4BAF" w:rsidR="00D87245" w:rsidRPr="008220DD" w:rsidRDefault="00D87245" w:rsidP="00D87245">
      <w:pPr>
        <w:ind w:firstLine="708"/>
        <w:jc w:val="both"/>
        <w:rPr>
          <w:rFonts w:ascii="Times New Roman" w:hAnsi="Times New Roman" w:cs="Times New Roman"/>
          <w:sz w:val="24"/>
          <w:szCs w:val="24"/>
        </w:rPr>
      </w:pPr>
      <w:r w:rsidRPr="008220DD">
        <w:rPr>
          <w:rFonts w:ascii="Times New Roman" w:hAnsi="Times New Roman" w:cs="Times New Roman"/>
          <w:sz w:val="24"/>
          <w:szCs w:val="24"/>
        </w:rPr>
        <w:t>(</w:t>
      </w:r>
      <w:proofErr w:type="gramStart"/>
      <w:r w:rsidRPr="008220DD">
        <w:rPr>
          <w:rFonts w:ascii="Times New Roman" w:hAnsi="Times New Roman" w:cs="Times New Roman"/>
          <w:sz w:val="24"/>
          <w:szCs w:val="24"/>
        </w:rPr>
        <w:t>art</w:t>
      </w:r>
      <w:proofErr w:type="gramEnd"/>
      <w:r w:rsidRPr="008220DD">
        <w:rPr>
          <w:rFonts w:ascii="Times New Roman" w:hAnsi="Times New Roman" w:cs="Times New Roman"/>
          <w:sz w:val="24"/>
          <w:szCs w:val="24"/>
        </w:rPr>
        <w:t>. 124 d)</w:t>
      </w:r>
    </w:p>
    <w:p w14:paraId="37B7E3B1" w14:textId="4C690F87" w:rsidR="008220DD" w:rsidRPr="008220DD" w:rsidRDefault="008220DD" w:rsidP="00D87245">
      <w:pPr>
        <w:ind w:left="709"/>
        <w:jc w:val="both"/>
        <w:rPr>
          <w:rFonts w:ascii="Times New Roman" w:hAnsi="Times New Roman" w:cs="Times New Roman"/>
          <w:b/>
          <w:sz w:val="24"/>
          <w:szCs w:val="24"/>
        </w:rPr>
      </w:pPr>
    </w:p>
    <w:p w14:paraId="3F9D6EEE" w14:textId="77777777" w:rsidR="008220DD" w:rsidRDefault="008220DD" w:rsidP="000D3ACD">
      <w:pPr>
        <w:jc w:val="both"/>
        <w:rPr>
          <w:rFonts w:ascii="Times New Roman" w:hAnsi="Times New Roman" w:cs="Times New Roman"/>
          <w:b/>
          <w:sz w:val="24"/>
          <w:szCs w:val="24"/>
        </w:rPr>
      </w:pPr>
    </w:p>
    <w:p w14:paraId="23D3B3F3" w14:textId="4ADD93EB" w:rsidR="008220DD" w:rsidRPr="00D87245" w:rsidRDefault="008220DD" w:rsidP="00D87245">
      <w:pPr>
        <w:pStyle w:val="Prrafodelista"/>
        <w:numPr>
          <w:ilvl w:val="0"/>
          <w:numId w:val="1"/>
        </w:numPr>
        <w:jc w:val="both"/>
        <w:rPr>
          <w:rFonts w:ascii="Times New Roman" w:hAnsi="Times New Roman" w:cs="Times New Roman"/>
          <w:b/>
          <w:sz w:val="24"/>
          <w:szCs w:val="24"/>
          <w:u w:val="single"/>
        </w:rPr>
      </w:pPr>
      <w:r w:rsidRPr="00D87245">
        <w:rPr>
          <w:rFonts w:ascii="Times New Roman" w:hAnsi="Times New Roman" w:cs="Times New Roman"/>
          <w:b/>
          <w:sz w:val="24"/>
          <w:szCs w:val="24"/>
          <w:u w:val="single"/>
        </w:rPr>
        <w:lastRenderedPageBreak/>
        <w:t>Reserva obligatoria para Vivienda Protegida del Sector Mixto</w:t>
      </w:r>
    </w:p>
    <w:p w14:paraId="0BAB49EC" w14:textId="27C4EAE6" w:rsidR="008220DD" w:rsidRPr="008220DD" w:rsidRDefault="008220DD" w:rsidP="00D87245">
      <w:pPr>
        <w:ind w:firstLine="708"/>
        <w:jc w:val="both"/>
        <w:rPr>
          <w:rFonts w:ascii="Times New Roman" w:hAnsi="Times New Roman" w:cs="Times New Roman"/>
          <w:sz w:val="24"/>
          <w:szCs w:val="24"/>
        </w:rPr>
      </w:pPr>
      <w:r w:rsidRPr="008220DD">
        <w:rPr>
          <w:rFonts w:ascii="Times New Roman" w:hAnsi="Times New Roman" w:cs="Times New Roman"/>
          <w:sz w:val="24"/>
          <w:szCs w:val="24"/>
        </w:rPr>
        <w:t>(D.A.4ª)</w:t>
      </w:r>
    </w:p>
    <w:p w14:paraId="1B2BD353" w14:textId="77777777" w:rsidR="008220DD" w:rsidRDefault="008220DD" w:rsidP="000D3ACD">
      <w:pPr>
        <w:jc w:val="both"/>
        <w:rPr>
          <w:rFonts w:ascii="Times New Roman" w:hAnsi="Times New Roman" w:cs="Times New Roman"/>
          <w:b/>
          <w:sz w:val="24"/>
          <w:szCs w:val="24"/>
        </w:rPr>
      </w:pPr>
    </w:p>
    <w:p w14:paraId="352CA411" w14:textId="4890E8D5" w:rsidR="008220DD" w:rsidRPr="008220DD" w:rsidRDefault="008220DD" w:rsidP="00D87245">
      <w:pPr>
        <w:pStyle w:val="Prrafodelista"/>
        <w:numPr>
          <w:ilvl w:val="0"/>
          <w:numId w:val="1"/>
        </w:numPr>
        <w:jc w:val="both"/>
        <w:rPr>
          <w:rFonts w:ascii="Times New Roman" w:hAnsi="Times New Roman" w:cs="Times New Roman"/>
          <w:b/>
          <w:sz w:val="24"/>
          <w:szCs w:val="24"/>
        </w:rPr>
      </w:pPr>
      <w:r w:rsidRPr="00D87245">
        <w:rPr>
          <w:rFonts w:ascii="Times New Roman" w:hAnsi="Times New Roman" w:cs="Times New Roman"/>
          <w:b/>
          <w:sz w:val="24"/>
          <w:szCs w:val="24"/>
          <w:u w:val="single"/>
        </w:rPr>
        <w:t>Cesión de aprovechamiento. Señalar las opciones legalmente posibles. Calcular la cuantía máxim</w:t>
      </w:r>
      <w:r w:rsidR="00D87245">
        <w:rPr>
          <w:rFonts w:ascii="Times New Roman" w:hAnsi="Times New Roman" w:cs="Times New Roman"/>
          <w:b/>
          <w:sz w:val="24"/>
          <w:szCs w:val="24"/>
          <w:u w:val="single"/>
        </w:rPr>
        <w:t>a de aprovechamiento para VPP pú</w:t>
      </w:r>
      <w:r w:rsidRPr="00D87245">
        <w:rPr>
          <w:rFonts w:ascii="Times New Roman" w:hAnsi="Times New Roman" w:cs="Times New Roman"/>
          <w:b/>
          <w:sz w:val="24"/>
          <w:szCs w:val="24"/>
          <w:u w:val="single"/>
        </w:rPr>
        <w:t>blica</w:t>
      </w:r>
      <w:r w:rsidRPr="008220DD">
        <w:rPr>
          <w:rFonts w:ascii="Times New Roman" w:hAnsi="Times New Roman" w:cs="Times New Roman"/>
          <w:b/>
          <w:sz w:val="24"/>
          <w:szCs w:val="24"/>
        </w:rPr>
        <w:t>.</w:t>
      </w:r>
    </w:p>
    <w:p w14:paraId="0C9F00E9" w14:textId="31F53A28" w:rsidR="008220DD" w:rsidRPr="008220DD" w:rsidRDefault="008220DD" w:rsidP="008220DD">
      <w:pPr>
        <w:ind w:firstLine="708"/>
        <w:jc w:val="both"/>
        <w:rPr>
          <w:rFonts w:ascii="Times New Roman" w:hAnsi="Times New Roman" w:cs="Times New Roman"/>
          <w:sz w:val="24"/>
          <w:szCs w:val="24"/>
        </w:rPr>
      </w:pPr>
      <w:r w:rsidRPr="008220DD">
        <w:rPr>
          <w:rFonts w:ascii="Times New Roman" w:hAnsi="Times New Roman" w:cs="Times New Roman"/>
          <w:sz w:val="24"/>
          <w:szCs w:val="24"/>
        </w:rPr>
        <w:t>(</w:t>
      </w:r>
      <w:proofErr w:type="gramStart"/>
      <w:r w:rsidRPr="008220DD">
        <w:rPr>
          <w:rFonts w:ascii="Times New Roman" w:hAnsi="Times New Roman" w:cs="Times New Roman"/>
          <w:sz w:val="24"/>
          <w:szCs w:val="24"/>
        </w:rPr>
        <w:t>art</w:t>
      </w:r>
      <w:proofErr w:type="gramEnd"/>
      <w:r w:rsidRPr="008220DD">
        <w:rPr>
          <w:rFonts w:ascii="Times New Roman" w:hAnsi="Times New Roman" w:cs="Times New Roman"/>
          <w:sz w:val="24"/>
          <w:szCs w:val="24"/>
        </w:rPr>
        <w:t>. 98)</w:t>
      </w:r>
    </w:p>
    <w:p w14:paraId="18E8C725" w14:textId="77777777" w:rsidR="008220DD" w:rsidRDefault="008220DD" w:rsidP="000D3ACD">
      <w:pPr>
        <w:jc w:val="both"/>
        <w:rPr>
          <w:rFonts w:ascii="Times New Roman" w:hAnsi="Times New Roman" w:cs="Times New Roman"/>
          <w:b/>
          <w:sz w:val="24"/>
          <w:szCs w:val="24"/>
        </w:rPr>
      </w:pPr>
    </w:p>
    <w:p w14:paraId="1F5E55FB" w14:textId="16F87941" w:rsidR="00D87245" w:rsidRPr="00D87245" w:rsidRDefault="00D87245" w:rsidP="00D87245">
      <w:pPr>
        <w:pStyle w:val="Prrafodelista"/>
        <w:numPr>
          <w:ilvl w:val="0"/>
          <w:numId w:val="8"/>
        </w:numPr>
        <w:jc w:val="both"/>
        <w:rPr>
          <w:rFonts w:ascii="Times New Roman" w:hAnsi="Times New Roman" w:cs="Times New Roman"/>
          <w:b/>
          <w:sz w:val="24"/>
          <w:szCs w:val="24"/>
        </w:rPr>
      </w:pPr>
      <w:r w:rsidRPr="00D87245">
        <w:rPr>
          <w:rFonts w:ascii="Times New Roman" w:hAnsi="Times New Roman" w:cs="Times New Roman"/>
          <w:b/>
          <w:sz w:val="24"/>
          <w:szCs w:val="24"/>
          <w:u w:val="single"/>
        </w:rPr>
        <w:t>Incremento máximo de aprovechamiento por aplicación de la prima de aprovechamiento para uso alternativo de vivienda protegida, suponiendo que el PG no hace referencia a este supuesto</w:t>
      </w:r>
      <w:r w:rsidRPr="00D87245">
        <w:rPr>
          <w:rFonts w:ascii="Times New Roman" w:hAnsi="Times New Roman" w:cs="Times New Roman"/>
          <w:b/>
          <w:sz w:val="24"/>
          <w:szCs w:val="24"/>
        </w:rPr>
        <w:t>.</w:t>
      </w:r>
    </w:p>
    <w:p w14:paraId="011541EC" w14:textId="778BAE0B" w:rsidR="00D87245" w:rsidRDefault="00D87245" w:rsidP="00D87245">
      <w:pPr>
        <w:ind w:firstLine="708"/>
        <w:jc w:val="both"/>
        <w:rPr>
          <w:rFonts w:ascii="Times New Roman" w:hAnsi="Times New Roman" w:cs="Times New Roman"/>
          <w:sz w:val="24"/>
          <w:szCs w:val="24"/>
        </w:rPr>
      </w:pPr>
      <w:r w:rsidRPr="00D87245">
        <w:rPr>
          <w:rFonts w:ascii="Times New Roman" w:hAnsi="Times New Roman" w:cs="Times New Roman"/>
          <w:sz w:val="24"/>
          <w:szCs w:val="24"/>
        </w:rPr>
        <w:t>(</w:t>
      </w:r>
      <w:proofErr w:type="gramStart"/>
      <w:r w:rsidRPr="00D87245">
        <w:rPr>
          <w:rFonts w:ascii="Times New Roman" w:hAnsi="Times New Roman" w:cs="Times New Roman"/>
          <w:sz w:val="24"/>
          <w:szCs w:val="24"/>
        </w:rPr>
        <w:t>art</w:t>
      </w:r>
      <w:proofErr w:type="gramEnd"/>
      <w:r w:rsidRPr="00D87245">
        <w:rPr>
          <w:rFonts w:ascii="Times New Roman" w:hAnsi="Times New Roman" w:cs="Times New Roman"/>
          <w:sz w:val="24"/>
          <w:szCs w:val="24"/>
        </w:rPr>
        <w:t>. 124 d.2)</w:t>
      </w:r>
    </w:p>
    <w:p w14:paraId="0A2100F3" w14:textId="77777777" w:rsidR="00D87245" w:rsidRPr="00D87245" w:rsidRDefault="00D87245" w:rsidP="00D87245">
      <w:pPr>
        <w:ind w:firstLine="708"/>
        <w:jc w:val="both"/>
        <w:rPr>
          <w:rFonts w:ascii="Times New Roman" w:hAnsi="Times New Roman" w:cs="Times New Roman"/>
          <w:sz w:val="24"/>
          <w:szCs w:val="24"/>
        </w:rPr>
      </w:pPr>
    </w:p>
    <w:p w14:paraId="3551D4D2" w14:textId="43F6495B" w:rsidR="00D87245" w:rsidRPr="00D87245" w:rsidRDefault="00D87245" w:rsidP="00D87245">
      <w:pPr>
        <w:pStyle w:val="Prrafodelista"/>
        <w:numPr>
          <w:ilvl w:val="0"/>
          <w:numId w:val="8"/>
        </w:numPr>
        <w:jc w:val="both"/>
        <w:rPr>
          <w:rFonts w:ascii="Times New Roman" w:hAnsi="Times New Roman" w:cs="Times New Roman"/>
          <w:b/>
          <w:sz w:val="24"/>
          <w:szCs w:val="24"/>
          <w:lang w:bidi="es-ES"/>
        </w:rPr>
      </w:pPr>
      <w:r w:rsidRPr="00D87245">
        <w:rPr>
          <w:rFonts w:ascii="Times New Roman" w:hAnsi="Times New Roman" w:cs="Times New Roman"/>
          <w:b/>
          <w:sz w:val="24"/>
          <w:szCs w:val="24"/>
          <w:u w:val="single"/>
          <w:lang w:bidi="es-ES"/>
        </w:rPr>
        <w:t>Calculo del aprovechamiento máximo para VPP sin superar el 50% del aprovechamiento total, incremento de dotaciones y cesiones</w:t>
      </w:r>
      <w:r w:rsidRPr="00D87245">
        <w:rPr>
          <w:rFonts w:ascii="Times New Roman" w:hAnsi="Times New Roman" w:cs="Times New Roman"/>
          <w:b/>
          <w:sz w:val="24"/>
          <w:szCs w:val="24"/>
          <w:lang w:bidi="es-ES"/>
        </w:rPr>
        <w:t>.</w:t>
      </w:r>
    </w:p>
    <w:p w14:paraId="2F2E0EEB" w14:textId="77777777" w:rsidR="00D87245" w:rsidRDefault="00D87245" w:rsidP="00D87245">
      <w:pPr>
        <w:ind w:left="851" w:hanging="425"/>
        <w:jc w:val="both"/>
        <w:rPr>
          <w:rFonts w:ascii="Times New Roman" w:hAnsi="Times New Roman" w:cs="Times New Roman"/>
          <w:b/>
          <w:sz w:val="24"/>
          <w:szCs w:val="24"/>
          <w:lang w:bidi="es-ES"/>
        </w:rPr>
      </w:pPr>
    </w:p>
    <w:p w14:paraId="4EB92183" w14:textId="04A75060" w:rsidR="00D87245" w:rsidRPr="00D87245" w:rsidRDefault="00D87245" w:rsidP="00D87245">
      <w:pPr>
        <w:pStyle w:val="Prrafodelista"/>
        <w:numPr>
          <w:ilvl w:val="0"/>
          <w:numId w:val="8"/>
        </w:numPr>
        <w:jc w:val="both"/>
        <w:rPr>
          <w:rFonts w:ascii="Times New Roman" w:hAnsi="Times New Roman" w:cs="Times New Roman"/>
          <w:b/>
          <w:sz w:val="24"/>
          <w:szCs w:val="24"/>
        </w:rPr>
      </w:pPr>
      <w:r w:rsidRPr="00D87245">
        <w:rPr>
          <w:rFonts w:ascii="Times New Roman" w:hAnsi="Times New Roman" w:cs="Times New Roman"/>
          <w:b/>
          <w:sz w:val="24"/>
          <w:szCs w:val="24"/>
          <w:u w:val="single"/>
        </w:rPr>
        <w:t>Aplicación de la prima de aprovechamiento hotelero para un hotel de 5*</w:t>
      </w:r>
      <w:r w:rsidRPr="00D87245">
        <w:rPr>
          <w:rFonts w:ascii="Times New Roman" w:hAnsi="Times New Roman" w:cs="Times New Roman"/>
          <w:b/>
          <w:sz w:val="24"/>
          <w:szCs w:val="24"/>
        </w:rPr>
        <w:t>.</w:t>
      </w:r>
    </w:p>
    <w:p w14:paraId="2F476E77" w14:textId="77777777" w:rsidR="00D87245" w:rsidRPr="00D87245" w:rsidRDefault="00D87245" w:rsidP="00D87245">
      <w:pPr>
        <w:ind w:left="851" w:hanging="142"/>
        <w:jc w:val="both"/>
        <w:rPr>
          <w:rFonts w:ascii="Times New Roman" w:hAnsi="Times New Roman" w:cs="Times New Roman"/>
          <w:sz w:val="24"/>
          <w:szCs w:val="24"/>
        </w:rPr>
      </w:pPr>
      <w:r w:rsidRPr="00D87245">
        <w:rPr>
          <w:rFonts w:ascii="Times New Roman" w:hAnsi="Times New Roman" w:cs="Times New Roman"/>
          <w:sz w:val="24"/>
          <w:szCs w:val="24"/>
        </w:rPr>
        <w:t>(</w:t>
      </w:r>
      <w:proofErr w:type="gramStart"/>
      <w:r w:rsidRPr="00D87245">
        <w:rPr>
          <w:rFonts w:ascii="Times New Roman" w:hAnsi="Times New Roman" w:cs="Times New Roman"/>
          <w:sz w:val="24"/>
          <w:szCs w:val="24"/>
        </w:rPr>
        <w:t>art</w:t>
      </w:r>
      <w:proofErr w:type="gramEnd"/>
      <w:r w:rsidRPr="00D87245">
        <w:rPr>
          <w:rFonts w:ascii="Times New Roman" w:hAnsi="Times New Roman" w:cs="Times New Roman"/>
          <w:sz w:val="24"/>
          <w:szCs w:val="24"/>
        </w:rPr>
        <w:t>. 124.d2 y 132)</w:t>
      </w:r>
    </w:p>
    <w:p w14:paraId="1A8A800F" w14:textId="77777777" w:rsidR="00D87245" w:rsidRDefault="00D87245" w:rsidP="00D87245">
      <w:pPr>
        <w:ind w:left="851" w:hanging="425"/>
        <w:jc w:val="both"/>
        <w:rPr>
          <w:rFonts w:ascii="Times New Roman" w:hAnsi="Times New Roman" w:cs="Times New Roman"/>
          <w:b/>
          <w:sz w:val="24"/>
          <w:szCs w:val="24"/>
        </w:rPr>
      </w:pPr>
    </w:p>
    <w:p w14:paraId="6A93A7DE" w14:textId="77777777" w:rsidR="00D87245" w:rsidRDefault="00D87245" w:rsidP="00D87245">
      <w:pPr>
        <w:ind w:left="851" w:hanging="425"/>
        <w:jc w:val="both"/>
        <w:rPr>
          <w:rFonts w:ascii="Times New Roman" w:hAnsi="Times New Roman" w:cs="Times New Roman"/>
          <w:b/>
          <w:sz w:val="24"/>
          <w:szCs w:val="24"/>
        </w:rPr>
      </w:pPr>
    </w:p>
    <w:p w14:paraId="0B8926B5" w14:textId="77777777" w:rsidR="000E1D11" w:rsidRPr="000E1D11" w:rsidRDefault="000E1D11" w:rsidP="00D87245">
      <w:pPr>
        <w:ind w:left="851" w:hanging="425"/>
        <w:jc w:val="both"/>
        <w:rPr>
          <w:rFonts w:ascii="Times New Roman" w:hAnsi="Times New Roman" w:cs="Times New Roman"/>
          <w:sz w:val="24"/>
          <w:szCs w:val="24"/>
        </w:rPr>
      </w:pPr>
    </w:p>
    <w:p w14:paraId="40F3CEEA" w14:textId="77777777" w:rsidR="000E1D11" w:rsidRPr="000E1D11" w:rsidRDefault="000E1D11" w:rsidP="000E1D11">
      <w:pPr>
        <w:ind w:left="851" w:hanging="425"/>
        <w:jc w:val="both"/>
        <w:rPr>
          <w:rFonts w:ascii="Times New Roman" w:hAnsi="Times New Roman" w:cs="Times New Roman"/>
          <w:b/>
          <w:sz w:val="24"/>
          <w:szCs w:val="24"/>
        </w:rPr>
      </w:pPr>
      <w:r w:rsidRPr="000E1D11">
        <w:rPr>
          <w:rFonts w:ascii="Times New Roman" w:hAnsi="Times New Roman" w:cs="Times New Roman"/>
          <w:b/>
          <w:sz w:val="24"/>
          <w:szCs w:val="24"/>
        </w:rPr>
        <w:t>ANEXO (Referencias de la LOTURM)</w:t>
      </w:r>
    </w:p>
    <w:p w14:paraId="6455C557" w14:textId="77777777" w:rsidR="000E1D11" w:rsidRPr="000E1D11" w:rsidRDefault="000E1D11" w:rsidP="000E1D11">
      <w:pPr>
        <w:ind w:left="851" w:hanging="425"/>
        <w:jc w:val="both"/>
        <w:rPr>
          <w:rFonts w:ascii="Times New Roman" w:hAnsi="Times New Roman" w:cs="Times New Roman"/>
          <w:sz w:val="24"/>
          <w:szCs w:val="24"/>
        </w:rPr>
      </w:pPr>
    </w:p>
    <w:p w14:paraId="63F0FDB1" w14:textId="77777777" w:rsidR="000E1D11" w:rsidRPr="000E1D11" w:rsidRDefault="000E1D11" w:rsidP="000E1D11">
      <w:pPr>
        <w:ind w:left="851" w:hanging="425"/>
        <w:jc w:val="both"/>
        <w:rPr>
          <w:rFonts w:ascii="Times New Roman" w:hAnsi="Times New Roman" w:cs="Times New Roman"/>
          <w:iCs/>
          <w:sz w:val="24"/>
          <w:szCs w:val="24"/>
        </w:rPr>
      </w:pPr>
      <w:r w:rsidRPr="000E1D11">
        <w:rPr>
          <w:rFonts w:ascii="Times New Roman" w:hAnsi="Times New Roman" w:cs="Times New Roman"/>
          <w:bCs/>
          <w:sz w:val="24"/>
          <w:szCs w:val="24"/>
        </w:rPr>
        <w:t>Artículo 98</w:t>
      </w:r>
      <w:r w:rsidRPr="000E1D11">
        <w:rPr>
          <w:rFonts w:ascii="Times New Roman" w:hAnsi="Times New Roman" w:cs="Times New Roman"/>
          <w:b/>
          <w:bCs/>
          <w:sz w:val="24"/>
          <w:szCs w:val="24"/>
        </w:rPr>
        <w:t xml:space="preserve">. </w:t>
      </w:r>
      <w:r w:rsidRPr="000E1D11">
        <w:rPr>
          <w:rFonts w:ascii="Times New Roman" w:hAnsi="Times New Roman" w:cs="Times New Roman"/>
          <w:iCs/>
          <w:sz w:val="24"/>
          <w:szCs w:val="24"/>
        </w:rPr>
        <w:t>Deberes vinculados a la transformación urbanística.</w:t>
      </w:r>
    </w:p>
    <w:p w14:paraId="784088FF"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Los propietarios de suelo urbanizable estarán sujetos a los siguientes deberes vinculados a la transformación urbanística:</w:t>
      </w:r>
    </w:p>
    <w:p w14:paraId="5ED48849"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a) Proceder a la efectiva equidistribución de beneficios y cargas derivados del planeamiento, debiendo promover, en caso de iniciativa privada, los instrumentos de planeamiento, gestión y urbanización en los plazos previstos por el Plan y el Programa de Actuación y costearlos en la proporción que les corresponda.</w:t>
      </w:r>
    </w:p>
    <w:p w14:paraId="1A7D36DB"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b) </w:t>
      </w:r>
      <w:r w:rsidRPr="000E1D11">
        <w:rPr>
          <w:rFonts w:ascii="Times New Roman" w:hAnsi="Times New Roman" w:cs="Times New Roman"/>
          <w:i/>
          <w:sz w:val="24"/>
          <w:szCs w:val="24"/>
          <w:u w:val="single"/>
        </w:rPr>
        <w:t>Obtener y ceder gratuitamente los terrenos destinados a sistemas generales vinculados o adscritos al sector</w:t>
      </w:r>
      <w:r w:rsidRPr="000E1D11">
        <w:rPr>
          <w:rFonts w:ascii="Times New Roman" w:hAnsi="Times New Roman" w:cs="Times New Roman"/>
          <w:i/>
          <w:sz w:val="24"/>
          <w:szCs w:val="24"/>
        </w:rPr>
        <w:t>.</w:t>
      </w:r>
    </w:p>
    <w:p w14:paraId="50AE3D55"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c) </w:t>
      </w:r>
      <w:r w:rsidRPr="000E1D11">
        <w:rPr>
          <w:rFonts w:ascii="Times New Roman" w:hAnsi="Times New Roman" w:cs="Times New Roman"/>
          <w:i/>
          <w:sz w:val="24"/>
          <w:szCs w:val="24"/>
          <w:u w:val="single"/>
        </w:rPr>
        <w:t>Ceder gratuitamente al ayuntamiento el suelo destinado a viales, espacios libres, zonas verdes y equipamientos públicos de carácter local establecidos por el planeamiento, de conformidad con los estándares que se determinan en la presente ley</w:t>
      </w:r>
      <w:r w:rsidRPr="000E1D11">
        <w:rPr>
          <w:rFonts w:ascii="Times New Roman" w:hAnsi="Times New Roman" w:cs="Times New Roman"/>
          <w:i/>
          <w:sz w:val="24"/>
          <w:szCs w:val="24"/>
        </w:rPr>
        <w:t>.</w:t>
      </w:r>
    </w:p>
    <w:p w14:paraId="4773D48C"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lastRenderedPageBreak/>
        <w:t xml:space="preserve">d) </w:t>
      </w:r>
      <w:r w:rsidRPr="000E1D11">
        <w:rPr>
          <w:rFonts w:ascii="Times New Roman" w:hAnsi="Times New Roman" w:cs="Times New Roman"/>
          <w:i/>
          <w:sz w:val="24"/>
          <w:szCs w:val="24"/>
          <w:u w:val="single"/>
        </w:rPr>
        <w:t xml:space="preserve">Ceder los terrenos en que se localice el </w:t>
      </w:r>
      <w:r w:rsidRPr="000E1D11">
        <w:rPr>
          <w:rFonts w:ascii="Times New Roman" w:hAnsi="Times New Roman" w:cs="Times New Roman"/>
          <w:b/>
          <w:i/>
          <w:sz w:val="24"/>
          <w:szCs w:val="24"/>
          <w:u w:val="single"/>
        </w:rPr>
        <w:t>10%</w:t>
      </w:r>
      <w:r w:rsidRPr="000E1D11">
        <w:rPr>
          <w:rFonts w:ascii="Times New Roman" w:hAnsi="Times New Roman" w:cs="Times New Roman"/>
          <w:i/>
          <w:sz w:val="24"/>
          <w:szCs w:val="24"/>
          <w:u w:val="single"/>
        </w:rPr>
        <w:t xml:space="preserve"> del aprovechamiento del sector. Este porcentaje podrá ser del </w:t>
      </w:r>
      <w:r w:rsidRPr="000E1D11">
        <w:rPr>
          <w:rFonts w:ascii="Times New Roman" w:hAnsi="Times New Roman" w:cs="Times New Roman"/>
          <w:b/>
          <w:i/>
          <w:sz w:val="24"/>
          <w:szCs w:val="24"/>
          <w:u w:val="single"/>
        </w:rPr>
        <w:t>20%</w:t>
      </w:r>
      <w:r w:rsidRPr="000E1D11">
        <w:rPr>
          <w:rFonts w:ascii="Times New Roman" w:hAnsi="Times New Roman" w:cs="Times New Roman"/>
          <w:i/>
          <w:sz w:val="24"/>
          <w:szCs w:val="24"/>
          <w:u w:val="single"/>
        </w:rPr>
        <w:t xml:space="preserve"> si se destina íntegramente al cumplimiento de la reserva de vivienda de protección pública</w:t>
      </w:r>
      <w:r w:rsidRPr="000E1D11">
        <w:rPr>
          <w:rFonts w:ascii="Times New Roman" w:hAnsi="Times New Roman" w:cs="Times New Roman"/>
          <w:i/>
          <w:sz w:val="24"/>
          <w:szCs w:val="24"/>
        </w:rPr>
        <w:t>.</w:t>
      </w:r>
    </w:p>
    <w:p w14:paraId="41ADE390" w14:textId="77777777" w:rsidR="000E1D11" w:rsidRPr="000E1D11" w:rsidRDefault="000E1D11" w:rsidP="000E1D11">
      <w:pPr>
        <w:ind w:left="851" w:hanging="425"/>
        <w:jc w:val="both"/>
        <w:rPr>
          <w:rFonts w:ascii="Times New Roman" w:hAnsi="Times New Roman" w:cs="Times New Roman"/>
          <w:sz w:val="24"/>
          <w:szCs w:val="24"/>
        </w:rPr>
      </w:pPr>
    </w:p>
    <w:p w14:paraId="46FFE9F2" w14:textId="77777777" w:rsidR="00367A46" w:rsidRPr="000E1D11" w:rsidRDefault="000E1D11" w:rsidP="000E1D11">
      <w:pPr>
        <w:ind w:left="851" w:hanging="425"/>
        <w:jc w:val="both"/>
        <w:rPr>
          <w:rFonts w:ascii="Times New Roman" w:hAnsi="Times New Roman" w:cs="Times New Roman"/>
          <w:sz w:val="24"/>
          <w:szCs w:val="24"/>
        </w:rPr>
      </w:pPr>
      <w:r w:rsidRPr="000E1D11">
        <w:rPr>
          <w:rFonts w:ascii="Times New Roman" w:hAnsi="Times New Roman" w:cs="Times New Roman"/>
          <w:sz w:val="24"/>
          <w:szCs w:val="24"/>
        </w:rPr>
        <w:tab/>
        <w:t>(…)</w:t>
      </w:r>
    </w:p>
    <w:p w14:paraId="62BED290" w14:textId="77777777" w:rsidR="000E1D11" w:rsidRPr="000E1D11" w:rsidRDefault="000E1D11" w:rsidP="000E1D11">
      <w:pPr>
        <w:ind w:left="851" w:hanging="425"/>
        <w:jc w:val="both"/>
        <w:rPr>
          <w:rFonts w:ascii="Times New Roman" w:hAnsi="Times New Roman" w:cs="Times New Roman"/>
          <w:sz w:val="24"/>
          <w:szCs w:val="24"/>
        </w:rPr>
      </w:pPr>
      <w:r w:rsidRPr="000E1D11">
        <w:rPr>
          <w:rFonts w:ascii="Times New Roman" w:hAnsi="Times New Roman" w:cs="Times New Roman"/>
          <w:i/>
          <w:sz w:val="24"/>
          <w:szCs w:val="24"/>
        </w:rPr>
        <w:t xml:space="preserve">i) </w:t>
      </w:r>
      <w:r w:rsidRPr="000E1D11">
        <w:rPr>
          <w:rFonts w:ascii="Times New Roman" w:hAnsi="Times New Roman" w:cs="Times New Roman"/>
          <w:i/>
          <w:sz w:val="24"/>
          <w:szCs w:val="24"/>
          <w:u w:val="single"/>
        </w:rPr>
        <w:t xml:space="preserve">Establecer la </w:t>
      </w:r>
      <w:r w:rsidRPr="000E1D11">
        <w:rPr>
          <w:rFonts w:ascii="Times New Roman" w:hAnsi="Times New Roman" w:cs="Times New Roman"/>
          <w:b/>
          <w:i/>
          <w:sz w:val="24"/>
          <w:szCs w:val="24"/>
          <w:u w:val="single"/>
        </w:rPr>
        <w:t>reserva de suelo</w:t>
      </w:r>
      <w:r w:rsidRPr="000E1D11">
        <w:rPr>
          <w:rFonts w:ascii="Times New Roman" w:hAnsi="Times New Roman" w:cs="Times New Roman"/>
          <w:i/>
          <w:sz w:val="24"/>
          <w:szCs w:val="24"/>
          <w:u w:val="single"/>
        </w:rPr>
        <w:t xml:space="preserve"> necesario para realizar el porcentaje correspondiente de aprovechamiento residencial de la unidad de actuación con destino a </w:t>
      </w:r>
      <w:r w:rsidRPr="000E1D11">
        <w:rPr>
          <w:rFonts w:ascii="Times New Roman" w:hAnsi="Times New Roman" w:cs="Times New Roman"/>
          <w:b/>
          <w:i/>
          <w:sz w:val="24"/>
          <w:szCs w:val="24"/>
          <w:u w:val="single"/>
        </w:rPr>
        <w:t>vivienda de protección pública</w:t>
      </w:r>
      <w:r w:rsidRPr="000E1D11">
        <w:rPr>
          <w:rFonts w:ascii="Times New Roman" w:hAnsi="Times New Roman" w:cs="Times New Roman"/>
          <w:i/>
          <w:sz w:val="24"/>
          <w:szCs w:val="24"/>
          <w:u w:val="single"/>
        </w:rPr>
        <w:t xml:space="preserve"> que en su caso establezca el planeamiento y como mínimo la reserva legal obligatoria, conforme a lo dispuesto en la </w:t>
      </w:r>
      <w:r w:rsidRPr="000E1D11">
        <w:rPr>
          <w:rFonts w:ascii="Times New Roman" w:hAnsi="Times New Roman" w:cs="Times New Roman"/>
          <w:b/>
          <w:i/>
          <w:sz w:val="24"/>
          <w:szCs w:val="24"/>
          <w:u w:val="single"/>
        </w:rPr>
        <w:t>disposición adicional cuarta de esta ley</w:t>
      </w:r>
      <w:r w:rsidRPr="000E1D11">
        <w:rPr>
          <w:rFonts w:ascii="Times New Roman" w:hAnsi="Times New Roman" w:cs="Times New Roman"/>
          <w:sz w:val="24"/>
          <w:szCs w:val="24"/>
          <w:u w:val="single"/>
        </w:rPr>
        <w:t>.</w:t>
      </w:r>
    </w:p>
    <w:p w14:paraId="4DA0BC7F" w14:textId="77777777" w:rsidR="000E1D11" w:rsidRPr="000E1D11" w:rsidRDefault="000E1D11" w:rsidP="000E1D11">
      <w:pPr>
        <w:ind w:left="851" w:hanging="425"/>
        <w:jc w:val="both"/>
        <w:rPr>
          <w:rFonts w:ascii="Times New Roman" w:hAnsi="Times New Roman" w:cs="Times New Roman"/>
          <w:sz w:val="24"/>
          <w:szCs w:val="24"/>
        </w:rPr>
      </w:pPr>
    </w:p>
    <w:p w14:paraId="1506EC28" w14:textId="77777777" w:rsidR="000E1D11" w:rsidRPr="000E1D11" w:rsidRDefault="000E1D11" w:rsidP="000E1D11">
      <w:pPr>
        <w:ind w:left="851" w:hanging="425"/>
        <w:jc w:val="both"/>
        <w:rPr>
          <w:rFonts w:ascii="Times New Roman" w:hAnsi="Times New Roman" w:cs="Times New Roman"/>
          <w:sz w:val="24"/>
          <w:szCs w:val="24"/>
        </w:rPr>
      </w:pPr>
      <w:r w:rsidRPr="000E1D11">
        <w:rPr>
          <w:rFonts w:ascii="Times New Roman" w:hAnsi="Times New Roman" w:cs="Times New Roman"/>
          <w:sz w:val="24"/>
          <w:szCs w:val="24"/>
        </w:rPr>
        <w:t>Art. 116 Determinaciones generales (del PGMO)</w:t>
      </w:r>
    </w:p>
    <w:p w14:paraId="459E781F"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ab/>
      </w:r>
      <w:r w:rsidRPr="000E1D11">
        <w:rPr>
          <w:rFonts w:ascii="Times New Roman" w:hAnsi="Times New Roman" w:cs="Times New Roman"/>
          <w:i/>
          <w:sz w:val="24"/>
          <w:szCs w:val="24"/>
        </w:rPr>
        <w:tab/>
        <w:t xml:space="preserve">El </w:t>
      </w:r>
      <w:r w:rsidRPr="000E1D11">
        <w:rPr>
          <w:rFonts w:ascii="Times New Roman" w:hAnsi="Times New Roman" w:cs="Times New Roman"/>
          <w:b/>
          <w:i/>
          <w:sz w:val="24"/>
          <w:szCs w:val="24"/>
        </w:rPr>
        <w:t>Sistema General de Espacios Libres</w:t>
      </w:r>
      <w:r w:rsidRPr="000E1D11">
        <w:rPr>
          <w:rFonts w:ascii="Times New Roman" w:hAnsi="Times New Roman" w:cs="Times New Roman"/>
          <w:i/>
          <w:sz w:val="24"/>
          <w:szCs w:val="24"/>
        </w:rPr>
        <w:t xml:space="preserve"> estará constituido por los parques y jardines públicos, con un estándar mínimo de </w:t>
      </w:r>
      <w:r w:rsidRPr="000E1D11">
        <w:rPr>
          <w:rFonts w:ascii="Times New Roman" w:hAnsi="Times New Roman" w:cs="Times New Roman"/>
          <w:b/>
          <w:i/>
          <w:sz w:val="24"/>
          <w:szCs w:val="24"/>
        </w:rPr>
        <w:t>20 m2 por cada 100 m2 de aprovechamiento residencial</w:t>
      </w:r>
      <w:r w:rsidRPr="000E1D11">
        <w:rPr>
          <w:rFonts w:ascii="Times New Roman" w:hAnsi="Times New Roman" w:cs="Times New Roman"/>
          <w:i/>
          <w:sz w:val="24"/>
          <w:szCs w:val="24"/>
        </w:rPr>
        <w:t>, referido a la totalidad del suelo urbano y urbanizable sectorizado, incluido el correspondiente a los propios sistemas generales.</w:t>
      </w:r>
    </w:p>
    <w:p w14:paraId="3B103DAF"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ab/>
        <w:t xml:space="preserve">El </w:t>
      </w:r>
      <w:r w:rsidRPr="000E1D11">
        <w:rPr>
          <w:rFonts w:ascii="Times New Roman" w:hAnsi="Times New Roman" w:cs="Times New Roman"/>
          <w:b/>
          <w:i/>
          <w:sz w:val="24"/>
          <w:szCs w:val="24"/>
        </w:rPr>
        <w:t>Sistema General de Equipamiento Comunitario</w:t>
      </w:r>
      <w:r w:rsidRPr="000E1D11">
        <w:rPr>
          <w:rFonts w:ascii="Times New Roman" w:hAnsi="Times New Roman" w:cs="Times New Roman"/>
          <w:i/>
          <w:sz w:val="24"/>
          <w:szCs w:val="24"/>
        </w:rPr>
        <w:t xml:space="preserve"> estará constituido por las diferentes instalaciones colectivas al servicio general de la población, distinguiendo las de titularidad pública y privada</w:t>
      </w:r>
      <w:proofErr w:type="gramStart"/>
      <w:r w:rsidRPr="000E1D11">
        <w:rPr>
          <w:rFonts w:ascii="Times New Roman" w:hAnsi="Times New Roman" w:cs="Times New Roman"/>
          <w:i/>
          <w:sz w:val="24"/>
          <w:szCs w:val="24"/>
        </w:rPr>
        <w:t>, ….</w:t>
      </w:r>
      <w:proofErr w:type="gramEnd"/>
    </w:p>
    <w:p w14:paraId="791B3D02"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ab/>
        <w:t xml:space="preserve">Sin perjuicio de lo dispuesto en la normativa sectorial aplicable, el estándar mínimo para el sistema general de equipamiento de titularidad pública será de 4 m2 por cada 100m2 de aprovechamiento residencial, referido a la totalidad del suelo urbano y urbanizable sectorizado, </w:t>
      </w:r>
      <w:r w:rsidRPr="000E1D11">
        <w:rPr>
          <w:rFonts w:ascii="Times New Roman" w:hAnsi="Times New Roman" w:cs="Times New Roman"/>
          <w:i/>
          <w:sz w:val="24"/>
          <w:szCs w:val="24"/>
          <w:u w:val="single"/>
        </w:rPr>
        <w:t>incluido el correspondiente a los propios sistemas generales</w:t>
      </w:r>
      <w:r w:rsidRPr="000E1D11">
        <w:rPr>
          <w:rFonts w:ascii="Times New Roman" w:hAnsi="Times New Roman" w:cs="Times New Roman"/>
          <w:i/>
          <w:sz w:val="24"/>
          <w:szCs w:val="24"/>
        </w:rPr>
        <w:t>.</w:t>
      </w:r>
    </w:p>
    <w:p w14:paraId="25007F26"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ab/>
        <w:t xml:space="preserve">Esta dotación será de 8 m2 en municipios de más de 20.000 habitantes y de </w:t>
      </w:r>
      <w:r w:rsidRPr="000E1D11">
        <w:rPr>
          <w:rFonts w:ascii="Times New Roman" w:hAnsi="Times New Roman" w:cs="Times New Roman"/>
          <w:b/>
          <w:i/>
          <w:sz w:val="24"/>
          <w:szCs w:val="24"/>
          <w:u w:val="single"/>
        </w:rPr>
        <w:t>13 m2 en los de más de 100.000</w:t>
      </w:r>
      <w:r w:rsidRPr="000E1D11">
        <w:rPr>
          <w:rFonts w:ascii="Times New Roman" w:hAnsi="Times New Roman" w:cs="Times New Roman"/>
          <w:i/>
          <w:sz w:val="24"/>
          <w:szCs w:val="24"/>
        </w:rPr>
        <w:t>, según conste en el censo en el momento de su aplicación.</w:t>
      </w:r>
    </w:p>
    <w:p w14:paraId="58AE7B08"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 </w:t>
      </w:r>
    </w:p>
    <w:p w14:paraId="38B2D5F9"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3. Sin perjuicio de las reservas mínimas establecidas en esta ley, </w:t>
      </w:r>
      <w:r w:rsidRPr="000E1D11">
        <w:rPr>
          <w:rFonts w:ascii="Times New Roman" w:hAnsi="Times New Roman" w:cs="Times New Roman"/>
          <w:i/>
          <w:sz w:val="24"/>
          <w:szCs w:val="24"/>
          <w:u w:val="single"/>
        </w:rPr>
        <w:t>el plan podrá calificar suelo para uso exclusivo residencial de protección pública</w:t>
      </w:r>
      <w:r w:rsidRPr="000E1D11">
        <w:rPr>
          <w:rFonts w:ascii="Times New Roman" w:hAnsi="Times New Roman" w:cs="Times New Roman"/>
          <w:i/>
          <w:sz w:val="24"/>
          <w:szCs w:val="24"/>
        </w:rPr>
        <w:t xml:space="preserve"> y establecer un porcentaje mínimo de aprovechamiento para este uso específico en determinadas áreas, </w:t>
      </w:r>
      <w:r w:rsidRPr="000E1D11">
        <w:rPr>
          <w:rFonts w:ascii="Times New Roman" w:hAnsi="Times New Roman" w:cs="Times New Roman"/>
          <w:i/>
          <w:sz w:val="24"/>
          <w:szCs w:val="24"/>
          <w:u w:val="single"/>
        </w:rPr>
        <w:t>siempre que se justifique su localización por razones de cohesión social y su viabilidad en función de los planes sectoriales de vivienda.</w:t>
      </w:r>
    </w:p>
    <w:p w14:paraId="3FC772CB" w14:textId="77777777" w:rsidR="000E1D11" w:rsidRPr="000E1D11" w:rsidRDefault="000E1D11" w:rsidP="000E1D11">
      <w:pPr>
        <w:ind w:left="851" w:hanging="425"/>
        <w:jc w:val="both"/>
        <w:rPr>
          <w:rFonts w:ascii="Times New Roman" w:hAnsi="Times New Roman" w:cs="Times New Roman"/>
          <w:i/>
          <w:sz w:val="24"/>
          <w:szCs w:val="24"/>
        </w:rPr>
      </w:pPr>
    </w:p>
    <w:p w14:paraId="618BBE92"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4. También podrá determinar las condiciones y ámbitos de aplicación de </w:t>
      </w:r>
      <w:r w:rsidRPr="000E1D11">
        <w:rPr>
          <w:rFonts w:ascii="Times New Roman" w:hAnsi="Times New Roman" w:cs="Times New Roman"/>
          <w:i/>
          <w:sz w:val="24"/>
          <w:szCs w:val="24"/>
          <w:u w:val="single"/>
        </w:rPr>
        <w:t xml:space="preserve">primas de aprovechamiento de hasta el </w:t>
      </w:r>
      <w:r w:rsidRPr="000E1D11">
        <w:rPr>
          <w:rFonts w:ascii="Times New Roman" w:hAnsi="Times New Roman" w:cs="Times New Roman"/>
          <w:b/>
          <w:i/>
          <w:sz w:val="24"/>
          <w:szCs w:val="24"/>
          <w:u w:val="single"/>
        </w:rPr>
        <w:t>20%</w:t>
      </w:r>
      <w:r w:rsidRPr="000E1D11">
        <w:rPr>
          <w:rFonts w:ascii="Times New Roman" w:hAnsi="Times New Roman" w:cs="Times New Roman"/>
          <w:i/>
          <w:sz w:val="24"/>
          <w:szCs w:val="24"/>
          <w:u w:val="single"/>
        </w:rPr>
        <w:t xml:space="preserve"> para usos que se propongan opcionalmente como alternativos al residencial no protegido, tales como el destinado a vivienda de protección pública, el hotelero</w:t>
      </w:r>
      <w:r w:rsidRPr="000E1D11">
        <w:rPr>
          <w:rFonts w:ascii="Times New Roman" w:hAnsi="Times New Roman" w:cs="Times New Roman"/>
          <w:i/>
          <w:sz w:val="24"/>
          <w:szCs w:val="24"/>
        </w:rPr>
        <w:t xml:space="preserve"> u otros de menor valor lucrativo, siempre que sean compatibles con el residencial, debiendo prever el aumento correspondiente de dotaciones aplicando los estándares fijados por el planeamiento. Para el uso hotelero la prima dependerá de la categoría del establecimiento, siendo del </w:t>
      </w:r>
      <w:r w:rsidRPr="000E1D11">
        <w:rPr>
          <w:rFonts w:ascii="Times New Roman" w:hAnsi="Times New Roman" w:cs="Times New Roman"/>
          <w:b/>
          <w:i/>
          <w:sz w:val="24"/>
          <w:szCs w:val="24"/>
        </w:rPr>
        <w:t>20%, 30% y 40%</w:t>
      </w:r>
      <w:r w:rsidRPr="000E1D11">
        <w:rPr>
          <w:rFonts w:ascii="Times New Roman" w:hAnsi="Times New Roman" w:cs="Times New Roman"/>
          <w:i/>
          <w:sz w:val="24"/>
          <w:szCs w:val="24"/>
        </w:rPr>
        <w:t xml:space="preserve"> para hoteles de 3, 4 y 5 estrellas respectivamente.</w:t>
      </w:r>
    </w:p>
    <w:p w14:paraId="491AC54C" w14:textId="77777777" w:rsidR="000E1D11" w:rsidRPr="000E1D11" w:rsidRDefault="000E1D11" w:rsidP="000E1D11">
      <w:pPr>
        <w:ind w:left="851" w:hanging="425"/>
        <w:jc w:val="both"/>
        <w:rPr>
          <w:rFonts w:ascii="Times New Roman" w:hAnsi="Times New Roman" w:cs="Times New Roman"/>
          <w:sz w:val="24"/>
          <w:szCs w:val="24"/>
        </w:rPr>
      </w:pPr>
    </w:p>
    <w:p w14:paraId="33558216" w14:textId="77777777" w:rsidR="000E1D11" w:rsidRPr="000E1D11" w:rsidRDefault="000E1D11" w:rsidP="000E1D11">
      <w:pPr>
        <w:ind w:left="851" w:hanging="425"/>
        <w:jc w:val="both"/>
        <w:rPr>
          <w:rFonts w:ascii="Times New Roman" w:hAnsi="Times New Roman" w:cs="Times New Roman"/>
          <w:sz w:val="24"/>
          <w:szCs w:val="24"/>
        </w:rPr>
      </w:pPr>
      <w:r w:rsidRPr="000E1D11">
        <w:rPr>
          <w:rFonts w:ascii="Times New Roman" w:hAnsi="Times New Roman" w:cs="Times New Roman"/>
          <w:sz w:val="24"/>
          <w:szCs w:val="24"/>
        </w:rPr>
        <w:lastRenderedPageBreak/>
        <w:t>Art. 119.1.c Determinaciones en suelo urbanizable</w:t>
      </w:r>
    </w:p>
    <w:p w14:paraId="726C43F5"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c) </w:t>
      </w:r>
      <w:r w:rsidRPr="000E1D11">
        <w:rPr>
          <w:rFonts w:ascii="Times New Roman" w:hAnsi="Times New Roman" w:cs="Times New Roman"/>
          <w:i/>
          <w:sz w:val="24"/>
          <w:szCs w:val="24"/>
          <w:u w:val="single"/>
        </w:rPr>
        <w:t>La vinculación o adscripción de sistemas generales</w:t>
      </w:r>
      <w:r w:rsidRPr="000E1D11">
        <w:rPr>
          <w:rFonts w:ascii="Times New Roman" w:hAnsi="Times New Roman" w:cs="Times New Roman"/>
          <w:i/>
          <w:sz w:val="24"/>
          <w:szCs w:val="24"/>
        </w:rPr>
        <w:t xml:space="preserve"> y la inclusión de cada sector en una de las categorías anteriores deberá justificarse en relación a su coherencia con el modelo territorial y al principio de la equidistribución de beneficios y cargas y </w:t>
      </w:r>
      <w:r w:rsidRPr="000E1D11">
        <w:rPr>
          <w:rFonts w:ascii="Times New Roman" w:hAnsi="Times New Roman" w:cs="Times New Roman"/>
          <w:i/>
          <w:sz w:val="24"/>
          <w:szCs w:val="24"/>
          <w:u w:val="single"/>
        </w:rPr>
        <w:t>no se alterará como consecuencia de las modificaciones o primas de aprovechamiento que se apliquen en el planeamiento de desarrollo</w:t>
      </w:r>
      <w:r w:rsidRPr="000E1D11">
        <w:rPr>
          <w:rFonts w:ascii="Times New Roman" w:hAnsi="Times New Roman" w:cs="Times New Roman"/>
          <w:i/>
          <w:sz w:val="24"/>
          <w:szCs w:val="24"/>
        </w:rPr>
        <w:t>.</w:t>
      </w:r>
    </w:p>
    <w:p w14:paraId="3E77F029" w14:textId="77777777" w:rsidR="000E1D11" w:rsidRPr="000E1D11" w:rsidRDefault="000E1D11" w:rsidP="000E1D11">
      <w:pPr>
        <w:ind w:left="851" w:hanging="425"/>
        <w:jc w:val="both"/>
        <w:rPr>
          <w:rFonts w:ascii="Times New Roman" w:hAnsi="Times New Roman" w:cs="Times New Roman"/>
          <w:sz w:val="24"/>
          <w:szCs w:val="24"/>
        </w:rPr>
      </w:pPr>
    </w:p>
    <w:p w14:paraId="6AD9B712" w14:textId="77777777" w:rsidR="000E1D11" w:rsidRPr="000E1D11" w:rsidRDefault="000E1D11" w:rsidP="000E1D11">
      <w:pPr>
        <w:ind w:left="851" w:hanging="425"/>
        <w:jc w:val="both"/>
        <w:rPr>
          <w:rFonts w:ascii="Times New Roman" w:hAnsi="Times New Roman" w:cs="Times New Roman"/>
          <w:sz w:val="24"/>
          <w:szCs w:val="24"/>
        </w:rPr>
      </w:pPr>
      <w:r w:rsidRPr="000E1D11">
        <w:rPr>
          <w:rFonts w:ascii="Times New Roman" w:hAnsi="Times New Roman" w:cs="Times New Roman"/>
          <w:sz w:val="24"/>
          <w:szCs w:val="24"/>
        </w:rPr>
        <w:t>Art. 124 Determinaciones (de Planes Parciales)</w:t>
      </w:r>
    </w:p>
    <w:p w14:paraId="6BD6807A" w14:textId="3C2B9DBC" w:rsidR="000E1D11" w:rsidRPr="000E1D11" w:rsidRDefault="000E1D11" w:rsidP="003948BE">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Los Planes Parciales contendrán las siguientes determinaciones:</w:t>
      </w:r>
      <w:r w:rsidR="003948BE">
        <w:rPr>
          <w:rFonts w:ascii="Times New Roman" w:hAnsi="Times New Roman" w:cs="Times New Roman"/>
          <w:i/>
          <w:sz w:val="24"/>
          <w:szCs w:val="24"/>
        </w:rPr>
        <w:t xml:space="preserve"> (…)</w:t>
      </w:r>
    </w:p>
    <w:p w14:paraId="1F0BC933"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d) Determinación del </w:t>
      </w:r>
      <w:r w:rsidRPr="000E1D11">
        <w:rPr>
          <w:rFonts w:ascii="Times New Roman" w:hAnsi="Times New Roman" w:cs="Times New Roman"/>
          <w:i/>
          <w:sz w:val="24"/>
          <w:szCs w:val="24"/>
          <w:u w:val="single"/>
        </w:rPr>
        <w:t>aprovechamiento resultante del sector, aplicando el aprovechamiento de referencia determinado por el Plan General a la superficie del sector y a la de los sistemas generales correspondientes, de forma que no se supere el máximo de la categoría asignada por el plan</w:t>
      </w:r>
      <w:r w:rsidRPr="000E1D11">
        <w:rPr>
          <w:rFonts w:ascii="Times New Roman" w:hAnsi="Times New Roman" w:cs="Times New Roman"/>
          <w:i/>
          <w:sz w:val="24"/>
          <w:szCs w:val="24"/>
        </w:rPr>
        <w:t>.</w:t>
      </w:r>
    </w:p>
    <w:p w14:paraId="0393A51B"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d.1) </w:t>
      </w:r>
      <w:r w:rsidRPr="000E1D11">
        <w:rPr>
          <w:rFonts w:ascii="Times New Roman" w:hAnsi="Times New Roman" w:cs="Times New Roman"/>
          <w:i/>
          <w:sz w:val="24"/>
          <w:szCs w:val="24"/>
          <w:u w:val="single"/>
        </w:rPr>
        <w:t xml:space="preserve">Este aprovechamiento resultante se podrá ajustar, incrementado o disminuido en cuantía máxima de un </w:t>
      </w:r>
      <w:r w:rsidRPr="000E1D11">
        <w:rPr>
          <w:rFonts w:ascii="Times New Roman" w:hAnsi="Times New Roman" w:cs="Times New Roman"/>
          <w:b/>
          <w:i/>
          <w:sz w:val="24"/>
          <w:szCs w:val="24"/>
          <w:u w:val="single"/>
        </w:rPr>
        <w:t>10%</w:t>
      </w:r>
      <w:r w:rsidRPr="000E1D11">
        <w:rPr>
          <w:rFonts w:ascii="Times New Roman" w:hAnsi="Times New Roman" w:cs="Times New Roman"/>
          <w:i/>
          <w:sz w:val="24"/>
          <w:szCs w:val="24"/>
          <w:u w:val="single"/>
        </w:rPr>
        <w:t>, sin que en ningún caso se reduzca la cesión de aprovechamiento lucrativo al ayuntamiento</w:t>
      </w:r>
      <w:r w:rsidRPr="000E1D11">
        <w:rPr>
          <w:rFonts w:ascii="Times New Roman" w:hAnsi="Times New Roman" w:cs="Times New Roman"/>
          <w:i/>
          <w:sz w:val="24"/>
          <w:szCs w:val="24"/>
        </w:rPr>
        <w:t xml:space="preserve"> que será como mínimo del </w:t>
      </w:r>
      <w:r w:rsidRPr="000E1D11">
        <w:rPr>
          <w:rFonts w:ascii="Times New Roman" w:hAnsi="Times New Roman" w:cs="Times New Roman"/>
          <w:b/>
          <w:i/>
          <w:sz w:val="24"/>
          <w:szCs w:val="24"/>
        </w:rPr>
        <w:t>10%</w:t>
      </w:r>
      <w:r w:rsidRPr="000E1D11">
        <w:rPr>
          <w:rFonts w:ascii="Times New Roman" w:hAnsi="Times New Roman" w:cs="Times New Roman"/>
          <w:i/>
          <w:sz w:val="24"/>
          <w:szCs w:val="24"/>
        </w:rPr>
        <w:t xml:space="preserve"> del aprovechamiento de referencia y que se podrá incrementar, en su caso, hasta el </w:t>
      </w:r>
      <w:r w:rsidRPr="000E1D11">
        <w:rPr>
          <w:rFonts w:ascii="Times New Roman" w:hAnsi="Times New Roman" w:cs="Times New Roman"/>
          <w:b/>
          <w:i/>
          <w:sz w:val="24"/>
          <w:szCs w:val="24"/>
        </w:rPr>
        <w:t>10%</w:t>
      </w:r>
      <w:r w:rsidRPr="000E1D11">
        <w:rPr>
          <w:rFonts w:ascii="Times New Roman" w:hAnsi="Times New Roman" w:cs="Times New Roman"/>
          <w:i/>
          <w:sz w:val="24"/>
          <w:szCs w:val="24"/>
        </w:rPr>
        <w:t xml:space="preserve"> del aprovechamiento resultante del sector.</w:t>
      </w:r>
    </w:p>
    <w:p w14:paraId="5608806B"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d.2) </w:t>
      </w:r>
      <w:r w:rsidRPr="000E1D11">
        <w:rPr>
          <w:rFonts w:ascii="Times New Roman" w:hAnsi="Times New Roman" w:cs="Times New Roman"/>
          <w:i/>
          <w:sz w:val="24"/>
          <w:szCs w:val="24"/>
          <w:u w:val="single"/>
        </w:rPr>
        <w:t>También se podrá incrementar el aprovechamiento resultante, sobre el resultado de la opción anterior si fuera el caso, para aplicación de la prima de aprovechamiento para usos alternativos como vivienda de protección pública</w:t>
      </w:r>
      <w:r w:rsidRPr="000E1D11">
        <w:rPr>
          <w:rFonts w:ascii="Times New Roman" w:hAnsi="Times New Roman" w:cs="Times New Roman"/>
          <w:i/>
          <w:sz w:val="24"/>
          <w:szCs w:val="24"/>
        </w:rPr>
        <w:t xml:space="preserve">, conforme a lo que disponga en su caso el Plan General y, en su defecto, en una cuantía de hasta el </w:t>
      </w:r>
      <w:r w:rsidRPr="000E1D11">
        <w:rPr>
          <w:rFonts w:ascii="Times New Roman" w:hAnsi="Times New Roman" w:cs="Times New Roman"/>
          <w:b/>
          <w:i/>
          <w:sz w:val="24"/>
          <w:szCs w:val="24"/>
        </w:rPr>
        <w:t>20 %</w:t>
      </w:r>
      <w:r w:rsidRPr="000E1D11">
        <w:rPr>
          <w:rFonts w:ascii="Times New Roman" w:hAnsi="Times New Roman" w:cs="Times New Roman"/>
          <w:i/>
          <w:sz w:val="24"/>
          <w:szCs w:val="24"/>
        </w:rPr>
        <w:t xml:space="preserve"> del aprovechamiento del sector que se destine a estos usos, calificándose específicamente el suelo necesario para su localización e incrementando en el mismo porcentaje la cesión de aprovechamiento.</w:t>
      </w:r>
    </w:p>
    <w:p w14:paraId="103F3EBA"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d.3) En ambos supuestos se deberá aumentar o, en su caso, disminuir la cuantía de dotaciones, </w:t>
      </w:r>
      <w:r w:rsidRPr="000E1D11">
        <w:rPr>
          <w:rFonts w:ascii="Times New Roman" w:hAnsi="Times New Roman" w:cs="Times New Roman"/>
          <w:i/>
          <w:sz w:val="24"/>
          <w:szCs w:val="24"/>
          <w:u w:val="single"/>
        </w:rPr>
        <w:t>aplicando el estándar correspondiente a dotaciones generales y locales al aprovechamiento resultante, localizándolas en el propio sector</w:t>
      </w:r>
      <w:r w:rsidRPr="000E1D11">
        <w:rPr>
          <w:rFonts w:ascii="Times New Roman" w:hAnsi="Times New Roman" w:cs="Times New Roman"/>
          <w:i/>
          <w:sz w:val="24"/>
          <w:szCs w:val="24"/>
        </w:rPr>
        <w:t>.</w:t>
      </w:r>
    </w:p>
    <w:p w14:paraId="317F04E1"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e) Señalamiento de </w:t>
      </w:r>
      <w:r w:rsidRPr="000E1D11">
        <w:rPr>
          <w:rFonts w:ascii="Times New Roman" w:hAnsi="Times New Roman" w:cs="Times New Roman"/>
          <w:i/>
          <w:sz w:val="24"/>
          <w:szCs w:val="24"/>
          <w:u w:val="single"/>
        </w:rPr>
        <w:t>las reservas de terrenos para espacios libres destinados a parques y jardines, de dominio y uso público</w:t>
      </w:r>
      <w:r w:rsidRPr="000E1D11">
        <w:rPr>
          <w:rFonts w:ascii="Times New Roman" w:hAnsi="Times New Roman" w:cs="Times New Roman"/>
          <w:i/>
          <w:sz w:val="24"/>
          <w:szCs w:val="24"/>
        </w:rPr>
        <w:t xml:space="preserve">, que habrán de establecerse con independencia de la fijada en el plan como sistema general de espacios libres. Esta superficie será de </w:t>
      </w:r>
      <w:r w:rsidRPr="000E1D11">
        <w:rPr>
          <w:rFonts w:ascii="Times New Roman" w:hAnsi="Times New Roman" w:cs="Times New Roman"/>
          <w:b/>
          <w:i/>
          <w:sz w:val="24"/>
          <w:szCs w:val="24"/>
          <w:u w:val="single"/>
        </w:rPr>
        <w:t xml:space="preserve">10m2 por cada 100 m2 de aprovechamiento resultante del sector </w:t>
      </w:r>
      <w:r w:rsidRPr="000E1D11">
        <w:rPr>
          <w:rFonts w:ascii="Times New Roman" w:hAnsi="Times New Roman" w:cs="Times New Roman"/>
          <w:i/>
          <w:sz w:val="24"/>
          <w:szCs w:val="24"/>
          <w:u w:val="single"/>
        </w:rPr>
        <w:t xml:space="preserve">y no podrá ser inferior al </w:t>
      </w:r>
      <w:r w:rsidRPr="000E1D11">
        <w:rPr>
          <w:rFonts w:ascii="Times New Roman" w:hAnsi="Times New Roman" w:cs="Times New Roman"/>
          <w:b/>
          <w:i/>
          <w:sz w:val="24"/>
          <w:szCs w:val="24"/>
          <w:u w:val="single"/>
        </w:rPr>
        <w:t>10 %</w:t>
      </w:r>
      <w:r w:rsidRPr="000E1D11">
        <w:rPr>
          <w:rFonts w:ascii="Times New Roman" w:hAnsi="Times New Roman" w:cs="Times New Roman"/>
          <w:i/>
          <w:sz w:val="24"/>
          <w:szCs w:val="24"/>
          <w:u w:val="single"/>
        </w:rPr>
        <w:t xml:space="preserve"> de la superficie del sector, cualquiera que sea su categoría y uso global</w:t>
      </w:r>
      <w:r w:rsidRPr="000E1D11">
        <w:rPr>
          <w:rFonts w:ascii="Times New Roman" w:hAnsi="Times New Roman" w:cs="Times New Roman"/>
          <w:i/>
          <w:sz w:val="24"/>
          <w:szCs w:val="24"/>
        </w:rPr>
        <w:t>. No obstante, en las categorías residenciales de baja y mínima densidad podrá compensarse hasta la mitad de esta superficie por el doble de espacios libres de titularidad privada de uso comunitario así calificada.</w:t>
      </w:r>
    </w:p>
    <w:p w14:paraId="022DDCDB"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f) </w:t>
      </w:r>
      <w:r w:rsidRPr="000E1D11">
        <w:rPr>
          <w:rFonts w:ascii="Times New Roman" w:hAnsi="Times New Roman" w:cs="Times New Roman"/>
          <w:i/>
          <w:sz w:val="24"/>
          <w:szCs w:val="24"/>
          <w:u w:val="single"/>
        </w:rPr>
        <w:t>Fijación de las reservas pare equipamientos de dominio y uso público en función del uso global del sector</w:t>
      </w:r>
      <w:r w:rsidRPr="000E1D11">
        <w:rPr>
          <w:rFonts w:ascii="Times New Roman" w:hAnsi="Times New Roman" w:cs="Times New Roman"/>
          <w:i/>
          <w:sz w:val="24"/>
          <w:szCs w:val="24"/>
        </w:rPr>
        <w:t>, para los usos específicos que se indican, aunque su distribución puede ser indicativa:</w:t>
      </w:r>
    </w:p>
    <w:p w14:paraId="347E7CB9" w14:textId="77777777" w:rsidR="000E1D11" w:rsidRPr="000E1D11" w:rsidRDefault="000E1D11" w:rsidP="000E1D11">
      <w:pPr>
        <w:ind w:left="851" w:hanging="425"/>
        <w:jc w:val="both"/>
        <w:rPr>
          <w:rFonts w:ascii="Times New Roman" w:hAnsi="Times New Roman" w:cs="Times New Roman"/>
          <w:i/>
          <w:sz w:val="24"/>
          <w:szCs w:val="24"/>
          <w:u w:val="single"/>
        </w:rPr>
      </w:pPr>
      <w:r w:rsidRPr="000E1D11">
        <w:rPr>
          <w:rFonts w:ascii="Times New Roman" w:hAnsi="Times New Roman" w:cs="Times New Roman"/>
          <w:i/>
          <w:sz w:val="24"/>
          <w:szCs w:val="24"/>
        </w:rPr>
        <w:t xml:space="preserve">– </w:t>
      </w:r>
      <w:r w:rsidRPr="000E1D11">
        <w:rPr>
          <w:rFonts w:ascii="Times New Roman" w:hAnsi="Times New Roman" w:cs="Times New Roman"/>
          <w:i/>
          <w:sz w:val="24"/>
          <w:szCs w:val="24"/>
          <w:u w:val="single"/>
        </w:rPr>
        <w:t>Uso global residencial</w:t>
      </w:r>
      <w:r w:rsidRPr="000E1D11">
        <w:rPr>
          <w:rFonts w:ascii="Times New Roman" w:hAnsi="Times New Roman" w:cs="Times New Roman"/>
          <w:i/>
          <w:sz w:val="24"/>
          <w:szCs w:val="24"/>
        </w:rPr>
        <w:t xml:space="preserve">: </w:t>
      </w:r>
      <w:r w:rsidRPr="000E1D11">
        <w:rPr>
          <w:rFonts w:ascii="Times New Roman" w:hAnsi="Times New Roman" w:cs="Times New Roman"/>
          <w:i/>
          <w:sz w:val="24"/>
          <w:szCs w:val="24"/>
          <w:u w:val="single"/>
        </w:rPr>
        <w:t>reserva de suelo con destino a centros educativos, docentes, culturales, sanitarios, administrativos, deportivos y sociales en la proporción adecuada a las necesidades propias del sector, en una cuantía mínima</w:t>
      </w:r>
      <w:r w:rsidRPr="000E1D11">
        <w:rPr>
          <w:rFonts w:ascii="Times New Roman" w:hAnsi="Times New Roman" w:cs="Times New Roman"/>
          <w:i/>
          <w:sz w:val="24"/>
          <w:szCs w:val="24"/>
        </w:rPr>
        <w:t xml:space="preserve"> de </w:t>
      </w:r>
      <w:r w:rsidRPr="000E1D11">
        <w:rPr>
          <w:rFonts w:ascii="Times New Roman" w:hAnsi="Times New Roman" w:cs="Times New Roman"/>
          <w:b/>
          <w:i/>
          <w:sz w:val="24"/>
          <w:szCs w:val="24"/>
          <w:u w:val="single"/>
        </w:rPr>
        <w:t>20 m2 por cada 100 m2 de aprovechamiento resultante del sector destinado a uso residencial</w:t>
      </w:r>
      <w:r w:rsidRPr="000E1D11">
        <w:rPr>
          <w:rFonts w:ascii="Times New Roman" w:hAnsi="Times New Roman" w:cs="Times New Roman"/>
          <w:i/>
          <w:sz w:val="24"/>
          <w:szCs w:val="24"/>
          <w:u w:val="single"/>
        </w:rPr>
        <w:t>.</w:t>
      </w:r>
    </w:p>
    <w:p w14:paraId="7383A3C4" w14:textId="77777777" w:rsidR="000E1D11" w:rsidRPr="000E1D11" w:rsidRDefault="000E1D11" w:rsidP="000E1D11">
      <w:pPr>
        <w:ind w:left="851" w:hanging="425"/>
        <w:jc w:val="both"/>
        <w:rPr>
          <w:rFonts w:ascii="Times New Roman" w:hAnsi="Times New Roman" w:cs="Times New Roman"/>
          <w:i/>
          <w:sz w:val="24"/>
          <w:szCs w:val="24"/>
        </w:rPr>
      </w:pPr>
    </w:p>
    <w:p w14:paraId="1C2E8FE4"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 </w:t>
      </w:r>
      <w:r w:rsidRPr="000E1D11">
        <w:rPr>
          <w:rFonts w:ascii="Times New Roman" w:hAnsi="Times New Roman" w:cs="Times New Roman"/>
          <w:i/>
          <w:sz w:val="24"/>
          <w:szCs w:val="24"/>
          <w:u w:val="single"/>
        </w:rPr>
        <w:t>Uso global de actividad económica</w:t>
      </w:r>
      <w:r w:rsidRPr="000E1D11">
        <w:rPr>
          <w:rFonts w:ascii="Times New Roman" w:hAnsi="Times New Roman" w:cs="Times New Roman"/>
          <w:i/>
          <w:sz w:val="24"/>
          <w:szCs w:val="24"/>
        </w:rPr>
        <w:t xml:space="preserve">: </w:t>
      </w:r>
      <w:r w:rsidRPr="000E1D11">
        <w:rPr>
          <w:rFonts w:ascii="Times New Roman" w:hAnsi="Times New Roman" w:cs="Times New Roman"/>
          <w:i/>
          <w:sz w:val="24"/>
          <w:szCs w:val="24"/>
          <w:u w:val="single"/>
        </w:rPr>
        <w:t>reserva de suelo con destino a centros educativos, docentes, culturales, sanitarios, administrativos, deportivos y sociales, en la proporción adecuada a las necesidades propias del sector en una cuantía mínima</w:t>
      </w:r>
      <w:r w:rsidRPr="000E1D11">
        <w:rPr>
          <w:rFonts w:ascii="Times New Roman" w:hAnsi="Times New Roman" w:cs="Times New Roman"/>
          <w:i/>
          <w:sz w:val="24"/>
          <w:szCs w:val="24"/>
        </w:rPr>
        <w:t xml:space="preserve"> de </w:t>
      </w:r>
      <w:r w:rsidRPr="000E1D11">
        <w:rPr>
          <w:rFonts w:ascii="Times New Roman" w:hAnsi="Times New Roman" w:cs="Times New Roman"/>
          <w:b/>
          <w:i/>
          <w:sz w:val="24"/>
          <w:szCs w:val="24"/>
          <w:u w:val="single"/>
        </w:rPr>
        <w:t>5 m² por cada 100 m2 de aprovechamiento resultante del sector</w:t>
      </w:r>
      <w:r w:rsidRPr="000E1D11">
        <w:rPr>
          <w:rFonts w:ascii="Times New Roman" w:hAnsi="Times New Roman" w:cs="Times New Roman"/>
          <w:i/>
          <w:sz w:val="24"/>
          <w:szCs w:val="24"/>
        </w:rPr>
        <w:t>, destinado a uso de actividad económica.</w:t>
      </w:r>
    </w:p>
    <w:p w14:paraId="211D700B"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 </w:t>
      </w:r>
      <w:r w:rsidRPr="000E1D11">
        <w:rPr>
          <w:rFonts w:ascii="Times New Roman" w:hAnsi="Times New Roman" w:cs="Times New Roman"/>
          <w:i/>
          <w:sz w:val="24"/>
          <w:szCs w:val="24"/>
          <w:u w:val="single"/>
        </w:rPr>
        <w:t>Usos mixtos: reserva de suelo con destino a los usos señalados en los apartados anteriores, en proporción al porcentaje de aprovechamiento correspondiente a cada uso global</w:t>
      </w:r>
      <w:r w:rsidRPr="000E1D11">
        <w:rPr>
          <w:rFonts w:ascii="Times New Roman" w:hAnsi="Times New Roman" w:cs="Times New Roman"/>
          <w:i/>
          <w:sz w:val="24"/>
          <w:szCs w:val="24"/>
        </w:rPr>
        <w:t>, justificando su localización adecuada a las características y necesidades específicas.</w:t>
      </w:r>
    </w:p>
    <w:p w14:paraId="016029FF" w14:textId="77777777" w:rsidR="000E1D11" w:rsidRPr="000E1D11" w:rsidRDefault="000E1D11" w:rsidP="000E1D11">
      <w:pPr>
        <w:ind w:left="851" w:hanging="425"/>
        <w:jc w:val="both"/>
        <w:rPr>
          <w:rFonts w:ascii="Times New Roman" w:hAnsi="Times New Roman" w:cs="Times New Roman"/>
          <w:i/>
          <w:sz w:val="24"/>
          <w:szCs w:val="24"/>
        </w:rPr>
      </w:pPr>
    </w:p>
    <w:p w14:paraId="32E0D66E" w14:textId="77777777" w:rsidR="000E1D11" w:rsidRPr="000E1D11" w:rsidRDefault="000E1D11" w:rsidP="000E1D11">
      <w:pPr>
        <w:ind w:left="851" w:hanging="425"/>
        <w:jc w:val="both"/>
        <w:rPr>
          <w:rFonts w:ascii="Times New Roman" w:hAnsi="Times New Roman" w:cs="Times New Roman"/>
          <w:b/>
          <w:bCs/>
          <w:sz w:val="24"/>
          <w:szCs w:val="24"/>
          <w:lang w:bidi="es-ES"/>
        </w:rPr>
      </w:pPr>
      <w:r w:rsidRPr="000E1D11">
        <w:rPr>
          <w:rFonts w:ascii="Times New Roman" w:hAnsi="Times New Roman" w:cs="Times New Roman"/>
          <w:bCs/>
          <w:sz w:val="24"/>
          <w:szCs w:val="24"/>
          <w:lang w:bidi="es-ES"/>
        </w:rPr>
        <w:t>Disposición adicional cuarta. Supuestos de aplicación de la reserva para vivienda protegida</w:t>
      </w:r>
      <w:r w:rsidRPr="000E1D11">
        <w:rPr>
          <w:rFonts w:ascii="Times New Roman" w:hAnsi="Times New Roman" w:cs="Times New Roman"/>
          <w:b/>
          <w:bCs/>
          <w:sz w:val="24"/>
          <w:szCs w:val="24"/>
          <w:lang w:bidi="es-ES"/>
        </w:rPr>
        <w:t>.</w:t>
      </w:r>
    </w:p>
    <w:p w14:paraId="768EF66D" w14:textId="77777777" w:rsidR="000E1D11" w:rsidRPr="000E1D11" w:rsidRDefault="000E1D11" w:rsidP="000E1D11">
      <w:pPr>
        <w:numPr>
          <w:ilvl w:val="0"/>
          <w:numId w:val="10"/>
        </w:numPr>
        <w:jc w:val="both"/>
        <w:rPr>
          <w:rFonts w:ascii="Times New Roman" w:hAnsi="Times New Roman" w:cs="Times New Roman"/>
          <w:i/>
          <w:sz w:val="24"/>
          <w:szCs w:val="24"/>
          <w:lang w:bidi="es-ES"/>
        </w:rPr>
      </w:pPr>
      <w:r w:rsidRPr="000E1D11">
        <w:rPr>
          <w:rFonts w:ascii="Times New Roman" w:hAnsi="Times New Roman" w:cs="Times New Roman"/>
          <w:i/>
          <w:sz w:val="24"/>
          <w:szCs w:val="24"/>
          <w:lang w:bidi="es-ES"/>
        </w:rPr>
        <w:t xml:space="preserve">La aplicación de la reserva mínima de suelo para localizar el porcentaje de aprovechamiento residencial destinado a vivienda protegida se realizará </w:t>
      </w:r>
      <w:r w:rsidRPr="000E1D11">
        <w:rPr>
          <w:rFonts w:ascii="Times New Roman" w:hAnsi="Times New Roman" w:cs="Times New Roman"/>
          <w:i/>
          <w:sz w:val="24"/>
          <w:szCs w:val="24"/>
          <w:u w:val="single"/>
          <w:lang w:bidi="es-ES"/>
        </w:rPr>
        <w:t>en relación con el inicio del instrumento de planeamiento que haya producido o produzca el cambio de ordenación</w:t>
      </w:r>
      <w:r w:rsidRPr="000E1D11">
        <w:rPr>
          <w:rFonts w:ascii="Times New Roman" w:hAnsi="Times New Roman" w:cs="Times New Roman"/>
          <w:i/>
          <w:sz w:val="24"/>
          <w:szCs w:val="24"/>
          <w:lang w:bidi="es-ES"/>
        </w:rPr>
        <w:t xml:space="preserve">, entendiendo por este la </w:t>
      </w:r>
      <w:r w:rsidRPr="000E1D11">
        <w:rPr>
          <w:rFonts w:ascii="Times New Roman" w:hAnsi="Times New Roman" w:cs="Times New Roman"/>
          <w:i/>
          <w:sz w:val="24"/>
          <w:szCs w:val="24"/>
          <w:u w:val="single"/>
          <w:lang w:bidi="es-ES"/>
        </w:rPr>
        <w:t xml:space="preserve">clasificación de suelo para un uso residencial no previsto o el incremento de la edificabilidad residencial </w:t>
      </w:r>
      <w:r w:rsidRPr="000E1D11">
        <w:rPr>
          <w:rFonts w:ascii="Times New Roman" w:hAnsi="Times New Roman" w:cs="Times New Roman"/>
          <w:i/>
          <w:sz w:val="24"/>
          <w:szCs w:val="24"/>
          <w:lang w:bidi="es-ES"/>
        </w:rPr>
        <w:t>(mediante revisión o modificación de planeamiento general o, en su caso, planeamiento de desarrollo).</w:t>
      </w:r>
    </w:p>
    <w:p w14:paraId="6590A3D7" w14:textId="77777777" w:rsidR="000E1D11" w:rsidRPr="000E1D11" w:rsidRDefault="000E1D11" w:rsidP="000E1D11">
      <w:pPr>
        <w:ind w:left="851" w:hanging="425"/>
        <w:jc w:val="both"/>
        <w:rPr>
          <w:rFonts w:ascii="Times New Roman" w:hAnsi="Times New Roman" w:cs="Times New Roman"/>
          <w:i/>
          <w:sz w:val="24"/>
          <w:szCs w:val="24"/>
          <w:lang w:bidi="es-ES"/>
        </w:rPr>
      </w:pPr>
    </w:p>
    <w:p w14:paraId="78EA4CD6" w14:textId="77777777" w:rsidR="000E1D11" w:rsidRPr="000E1D11" w:rsidRDefault="000E1D11" w:rsidP="000E1D11">
      <w:pPr>
        <w:numPr>
          <w:ilvl w:val="0"/>
          <w:numId w:val="10"/>
        </w:numPr>
        <w:jc w:val="both"/>
        <w:rPr>
          <w:rFonts w:ascii="Times New Roman" w:hAnsi="Times New Roman" w:cs="Times New Roman"/>
          <w:i/>
          <w:sz w:val="24"/>
          <w:szCs w:val="24"/>
          <w:lang w:bidi="es-ES"/>
        </w:rPr>
      </w:pPr>
      <w:r w:rsidRPr="000E1D11">
        <w:rPr>
          <w:rFonts w:ascii="Times New Roman" w:hAnsi="Times New Roman" w:cs="Times New Roman"/>
          <w:i/>
          <w:sz w:val="24"/>
          <w:szCs w:val="24"/>
          <w:lang w:bidi="es-ES"/>
        </w:rPr>
        <w:t xml:space="preserve">A los </w:t>
      </w:r>
      <w:r w:rsidRPr="000E1D11">
        <w:rPr>
          <w:rFonts w:ascii="Times New Roman" w:hAnsi="Times New Roman" w:cs="Times New Roman"/>
          <w:i/>
          <w:sz w:val="24"/>
          <w:szCs w:val="24"/>
          <w:u w:val="single"/>
          <w:lang w:bidi="es-ES"/>
        </w:rPr>
        <w:t>instrumentos de planeamiento iniciados a partir del 1 de julio de 2008</w:t>
      </w:r>
      <w:r w:rsidRPr="000E1D11">
        <w:rPr>
          <w:rFonts w:ascii="Times New Roman" w:hAnsi="Times New Roman" w:cs="Times New Roman"/>
          <w:i/>
          <w:sz w:val="24"/>
          <w:szCs w:val="24"/>
          <w:lang w:bidi="es-ES"/>
        </w:rPr>
        <w:t xml:space="preserve"> se aplicará una </w:t>
      </w:r>
      <w:r w:rsidRPr="000E1D11">
        <w:rPr>
          <w:rFonts w:ascii="Times New Roman" w:hAnsi="Times New Roman" w:cs="Times New Roman"/>
          <w:b/>
          <w:i/>
          <w:sz w:val="24"/>
          <w:szCs w:val="24"/>
          <w:lang w:bidi="es-ES"/>
        </w:rPr>
        <w:t>reserva del 30 % del aprovechamiento</w:t>
      </w:r>
      <w:r w:rsidRPr="000E1D11">
        <w:rPr>
          <w:rFonts w:ascii="Times New Roman" w:hAnsi="Times New Roman" w:cs="Times New Roman"/>
          <w:i/>
          <w:sz w:val="24"/>
          <w:szCs w:val="24"/>
          <w:lang w:bidi="es-ES"/>
        </w:rPr>
        <w:t xml:space="preserve"> para </w:t>
      </w:r>
      <w:r w:rsidRPr="000E1D11">
        <w:rPr>
          <w:rFonts w:ascii="Times New Roman" w:hAnsi="Times New Roman" w:cs="Times New Roman"/>
          <w:i/>
          <w:sz w:val="24"/>
          <w:szCs w:val="24"/>
          <w:u w:val="single"/>
          <w:lang w:bidi="es-ES"/>
        </w:rPr>
        <w:t>actuaciones de nueva urbanización</w:t>
      </w:r>
      <w:r w:rsidRPr="000E1D11">
        <w:rPr>
          <w:rFonts w:ascii="Times New Roman" w:hAnsi="Times New Roman" w:cs="Times New Roman"/>
          <w:i/>
          <w:sz w:val="24"/>
          <w:szCs w:val="24"/>
          <w:lang w:bidi="es-ES"/>
        </w:rPr>
        <w:t xml:space="preserve"> en suelo urbano sin consolidar y </w:t>
      </w:r>
      <w:r w:rsidRPr="000E1D11">
        <w:rPr>
          <w:rFonts w:ascii="Times New Roman" w:hAnsi="Times New Roman" w:cs="Times New Roman"/>
          <w:i/>
          <w:sz w:val="24"/>
          <w:szCs w:val="24"/>
          <w:u w:val="single"/>
          <w:lang w:bidi="es-ES"/>
        </w:rPr>
        <w:t>urbanizable de uso residencial</w:t>
      </w:r>
      <w:r w:rsidRPr="000E1D11">
        <w:rPr>
          <w:rFonts w:ascii="Times New Roman" w:hAnsi="Times New Roman" w:cs="Times New Roman"/>
          <w:i/>
          <w:sz w:val="24"/>
          <w:szCs w:val="24"/>
          <w:lang w:bidi="es-ES"/>
        </w:rPr>
        <w:t xml:space="preserve">. </w:t>
      </w:r>
      <w:r w:rsidRPr="000E1D11">
        <w:rPr>
          <w:rFonts w:ascii="Times New Roman" w:hAnsi="Times New Roman" w:cs="Times New Roman"/>
          <w:i/>
          <w:sz w:val="24"/>
          <w:szCs w:val="24"/>
          <w:u w:val="single"/>
          <w:lang w:bidi="es-ES"/>
        </w:rPr>
        <w:t>La reserva se aplicará sobre los incrementos de edificabilidad residencial</w:t>
      </w:r>
      <w:r w:rsidRPr="000E1D11">
        <w:rPr>
          <w:rFonts w:ascii="Times New Roman" w:hAnsi="Times New Roman" w:cs="Times New Roman"/>
          <w:i/>
          <w:sz w:val="24"/>
          <w:szCs w:val="24"/>
          <w:lang w:bidi="es-ES"/>
        </w:rPr>
        <w:t xml:space="preserve"> incluidos en los instrumentos de planeamiento, con relación a la ordenación anteriormente vigente.</w:t>
      </w:r>
    </w:p>
    <w:p w14:paraId="4F92B6DC" w14:textId="77777777" w:rsidR="000E1D11" w:rsidRPr="000E1D11" w:rsidRDefault="000E1D11" w:rsidP="003948BE">
      <w:pPr>
        <w:ind w:left="142"/>
        <w:jc w:val="both"/>
        <w:rPr>
          <w:rFonts w:ascii="Times New Roman" w:hAnsi="Times New Roman" w:cs="Times New Roman"/>
          <w:i/>
          <w:sz w:val="24"/>
          <w:szCs w:val="24"/>
          <w:lang w:bidi="es-ES"/>
        </w:rPr>
      </w:pPr>
      <w:r w:rsidRPr="000E1D11">
        <w:rPr>
          <w:rFonts w:ascii="Times New Roman" w:hAnsi="Times New Roman" w:cs="Times New Roman"/>
          <w:i/>
          <w:sz w:val="24"/>
          <w:szCs w:val="24"/>
          <w:lang w:bidi="es-ES"/>
        </w:rPr>
        <w:t xml:space="preserve">Dicha reserva podrá distribuirse entre distintas unidades de actuación y sectores incluidos en el ámbito del instrumento de planeamiento, justificando su localización respetuosa con el principio de cohesión social, y </w:t>
      </w:r>
      <w:r w:rsidRPr="000E1D11">
        <w:rPr>
          <w:rFonts w:ascii="Times New Roman" w:hAnsi="Times New Roman" w:cs="Times New Roman"/>
          <w:i/>
          <w:sz w:val="24"/>
          <w:szCs w:val="24"/>
          <w:u w:val="single"/>
          <w:lang w:bidi="es-ES"/>
        </w:rPr>
        <w:t>no podrá acumularse en una sola unidad o sector más de un</w:t>
      </w:r>
      <w:r w:rsidRPr="000E1D11">
        <w:rPr>
          <w:rFonts w:ascii="Times New Roman" w:hAnsi="Times New Roman" w:cs="Times New Roman"/>
          <w:i/>
          <w:sz w:val="24"/>
          <w:szCs w:val="24"/>
          <w:lang w:bidi="es-ES"/>
        </w:rPr>
        <w:t xml:space="preserve"> </w:t>
      </w:r>
      <w:r w:rsidRPr="000E1D11">
        <w:rPr>
          <w:rFonts w:ascii="Times New Roman" w:hAnsi="Times New Roman" w:cs="Times New Roman"/>
          <w:b/>
          <w:i/>
          <w:sz w:val="24"/>
          <w:szCs w:val="24"/>
          <w:u w:val="single"/>
          <w:lang w:bidi="es-ES"/>
        </w:rPr>
        <w:t>50 %</w:t>
      </w:r>
      <w:r w:rsidRPr="000E1D11">
        <w:rPr>
          <w:rFonts w:ascii="Times New Roman" w:hAnsi="Times New Roman" w:cs="Times New Roman"/>
          <w:i/>
          <w:sz w:val="24"/>
          <w:szCs w:val="24"/>
          <w:u w:val="single"/>
          <w:lang w:bidi="es-ES"/>
        </w:rPr>
        <w:t xml:space="preserve"> de edificabilidad residencial destinada a vivienda protegida.</w:t>
      </w:r>
    </w:p>
    <w:p w14:paraId="4A7DFF58" w14:textId="77777777" w:rsidR="000E1D11" w:rsidRPr="000E1D11" w:rsidRDefault="000E1D11" w:rsidP="000E1D11">
      <w:pPr>
        <w:numPr>
          <w:ilvl w:val="0"/>
          <w:numId w:val="10"/>
        </w:numPr>
        <w:jc w:val="both"/>
        <w:rPr>
          <w:rFonts w:ascii="Times New Roman" w:hAnsi="Times New Roman" w:cs="Times New Roman"/>
          <w:i/>
          <w:sz w:val="24"/>
          <w:szCs w:val="24"/>
          <w:lang w:bidi="es-ES"/>
        </w:rPr>
      </w:pPr>
      <w:r w:rsidRPr="000E1D11">
        <w:rPr>
          <w:rFonts w:ascii="Times New Roman" w:hAnsi="Times New Roman" w:cs="Times New Roman"/>
          <w:i/>
          <w:sz w:val="24"/>
          <w:szCs w:val="24"/>
          <w:u w:val="single"/>
          <w:lang w:bidi="es-ES"/>
        </w:rPr>
        <w:t>A los instrumentos de planeamiento iniciados entre el 15 de junio de 2004 y el 1 de julio de 2008</w:t>
      </w:r>
      <w:r w:rsidRPr="000E1D11">
        <w:rPr>
          <w:rFonts w:ascii="Times New Roman" w:hAnsi="Times New Roman" w:cs="Times New Roman"/>
          <w:i/>
          <w:sz w:val="24"/>
          <w:szCs w:val="24"/>
          <w:lang w:bidi="es-ES"/>
        </w:rPr>
        <w:t xml:space="preserve"> se aplicará una reserva del </w:t>
      </w:r>
      <w:r w:rsidRPr="000E1D11">
        <w:rPr>
          <w:rFonts w:ascii="Times New Roman" w:hAnsi="Times New Roman" w:cs="Times New Roman"/>
          <w:b/>
          <w:i/>
          <w:sz w:val="24"/>
          <w:szCs w:val="24"/>
          <w:lang w:bidi="es-ES"/>
        </w:rPr>
        <w:t>10 % del aprovechamiento residencial</w:t>
      </w:r>
      <w:r w:rsidRPr="000E1D11">
        <w:rPr>
          <w:rFonts w:ascii="Times New Roman" w:hAnsi="Times New Roman" w:cs="Times New Roman"/>
          <w:i/>
          <w:sz w:val="24"/>
          <w:szCs w:val="24"/>
          <w:lang w:bidi="es-ES"/>
        </w:rPr>
        <w:t xml:space="preserve"> previsto por el planeamiento en suelo urbanizable de uso residencial, excepto los de mínima densidad.</w:t>
      </w:r>
    </w:p>
    <w:p w14:paraId="5EB9C29C" w14:textId="77777777" w:rsidR="000E1D11" w:rsidRPr="000E1D11" w:rsidRDefault="000E1D11" w:rsidP="000E1D11">
      <w:pPr>
        <w:ind w:left="851" w:hanging="425"/>
        <w:jc w:val="both"/>
        <w:rPr>
          <w:rFonts w:ascii="Times New Roman" w:hAnsi="Times New Roman" w:cs="Times New Roman"/>
          <w:i/>
          <w:sz w:val="24"/>
          <w:szCs w:val="24"/>
          <w:lang w:bidi="es-ES"/>
        </w:rPr>
      </w:pPr>
    </w:p>
    <w:p w14:paraId="1DAD6C96"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bCs/>
          <w:sz w:val="24"/>
          <w:szCs w:val="24"/>
        </w:rPr>
        <w:t>Artículo 132</w:t>
      </w:r>
      <w:r w:rsidRPr="000E1D11">
        <w:rPr>
          <w:rFonts w:ascii="Times New Roman" w:hAnsi="Times New Roman" w:cs="Times New Roman"/>
          <w:b/>
          <w:bCs/>
          <w:sz w:val="24"/>
          <w:szCs w:val="24"/>
        </w:rPr>
        <w:t xml:space="preserve">. </w:t>
      </w:r>
      <w:r w:rsidRPr="000E1D11">
        <w:rPr>
          <w:rFonts w:ascii="Times New Roman" w:hAnsi="Times New Roman" w:cs="Times New Roman"/>
          <w:iCs/>
          <w:sz w:val="24"/>
          <w:szCs w:val="24"/>
        </w:rPr>
        <w:t>Planes especiales de ordenación urbana</w:t>
      </w:r>
      <w:r w:rsidRPr="000E1D11">
        <w:rPr>
          <w:rFonts w:ascii="Times New Roman" w:hAnsi="Times New Roman" w:cs="Times New Roman"/>
          <w:i/>
          <w:iCs/>
          <w:sz w:val="24"/>
          <w:szCs w:val="24"/>
        </w:rPr>
        <w:t>.</w:t>
      </w:r>
    </w:p>
    <w:p w14:paraId="212B7EA6"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1. Los Planes Especiales de ordenación o reordenación urbana podrán tener por objeto actuaciones en suelo urbano, o </w:t>
      </w:r>
      <w:r w:rsidRPr="000E1D11">
        <w:rPr>
          <w:rFonts w:ascii="Times New Roman" w:hAnsi="Times New Roman" w:cs="Times New Roman"/>
          <w:i/>
          <w:sz w:val="24"/>
          <w:szCs w:val="24"/>
          <w:u w:val="single"/>
        </w:rPr>
        <w:t>urbanizable ya ordenado</w:t>
      </w:r>
      <w:r w:rsidRPr="000E1D11">
        <w:rPr>
          <w:rFonts w:ascii="Times New Roman" w:hAnsi="Times New Roman" w:cs="Times New Roman"/>
          <w:i/>
          <w:sz w:val="24"/>
          <w:szCs w:val="24"/>
        </w:rPr>
        <w:t xml:space="preserve">, para la descongestión del suelo, creación de dotaciones urbanísticas y equipamiento comunitario, reforma, renovación y rehabilitación integral de barrios, resolución de problemas de accesibilidad, circulación o de estética, mejora del medio ambiente y otros fines análogos, como calificación de suelo para vivienda protegida y </w:t>
      </w:r>
      <w:r w:rsidRPr="000E1D11">
        <w:rPr>
          <w:rFonts w:ascii="Times New Roman" w:hAnsi="Times New Roman" w:cs="Times New Roman"/>
          <w:i/>
          <w:sz w:val="24"/>
          <w:szCs w:val="24"/>
          <w:u w:val="single"/>
        </w:rPr>
        <w:t>aplicación de primas de aprovechamiento, conforme a lo establecido en esta ley.</w:t>
      </w:r>
    </w:p>
    <w:p w14:paraId="1CA67D13"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lastRenderedPageBreak/>
        <w:t>2. Cuando se trate de operaciones no previstas en el Plan General, el Plan Especial no podrá modificar la estructura fundamental de aquel, debiendo justificar su incidencia y coherencia con el mismo.</w:t>
      </w:r>
    </w:p>
    <w:p w14:paraId="3A19026B"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3. </w:t>
      </w:r>
      <w:r w:rsidRPr="000E1D11">
        <w:rPr>
          <w:rFonts w:ascii="Times New Roman" w:hAnsi="Times New Roman" w:cs="Times New Roman"/>
          <w:i/>
          <w:sz w:val="24"/>
          <w:szCs w:val="24"/>
          <w:u w:val="single"/>
        </w:rPr>
        <w:t>Se preverán los espacios libres y equipamientos públicos en proporción adecuada a las características específicas del área y al aprovechamiento establecido en el propio Plan Especial, con respecto al previsto en el Plan General o en el planeamiento anterior, aplicándose los estándares sobre los incrementos de aprovechamiento</w:t>
      </w:r>
      <w:r w:rsidRPr="000E1D11">
        <w:rPr>
          <w:rFonts w:ascii="Times New Roman" w:hAnsi="Times New Roman" w:cs="Times New Roman"/>
          <w:i/>
          <w:sz w:val="24"/>
          <w:szCs w:val="24"/>
        </w:rPr>
        <w:t>.</w:t>
      </w:r>
    </w:p>
    <w:p w14:paraId="6C7E8568"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ab/>
        <w:t>En actuaciones de dotación, renovación o reforma en suelo urbano consolidado se aplicarán los estándares de sistemas generales establecidos por el plan.</w:t>
      </w:r>
    </w:p>
    <w:p w14:paraId="4CD0CC02"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ab/>
        <w:t xml:space="preserve">En actuaciones de nueva urbanización en suelo urbano sin consolidar o suelo urbanizable se aplicará además el estándar de </w:t>
      </w:r>
      <w:r w:rsidRPr="000E1D11">
        <w:rPr>
          <w:rFonts w:ascii="Times New Roman" w:hAnsi="Times New Roman" w:cs="Times New Roman"/>
          <w:b/>
          <w:i/>
          <w:sz w:val="24"/>
          <w:szCs w:val="24"/>
        </w:rPr>
        <w:t>30 m2 de suelo por cada 100 m2 de aprovechamiento,</w:t>
      </w:r>
      <w:r w:rsidRPr="000E1D11">
        <w:rPr>
          <w:rFonts w:ascii="Times New Roman" w:hAnsi="Times New Roman" w:cs="Times New Roman"/>
          <w:i/>
          <w:sz w:val="24"/>
          <w:szCs w:val="24"/>
        </w:rPr>
        <w:t xml:space="preserve"> determinando el plan la distribución y uso específico entre equipamientos y espacios libres en función de las necesidades específicas. Este estándar </w:t>
      </w:r>
      <w:r w:rsidRPr="000E1D11">
        <w:rPr>
          <w:rFonts w:ascii="Times New Roman" w:hAnsi="Times New Roman" w:cs="Times New Roman"/>
          <w:b/>
          <w:i/>
          <w:sz w:val="24"/>
          <w:szCs w:val="24"/>
        </w:rPr>
        <w:t>se reducirá a la mitad en el caso de uso de actividad económica</w:t>
      </w:r>
      <w:r w:rsidRPr="000E1D11">
        <w:rPr>
          <w:rFonts w:ascii="Times New Roman" w:hAnsi="Times New Roman" w:cs="Times New Roman"/>
          <w:i/>
          <w:sz w:val="24"/>
          <w:szCs w:val="24"/>
        </w:rPr>
        <w:t xml:space="preserve"> y </w:t>
      </w:r>
      <w:r w:rsidRPr="000E1D11">
        <w:rPr>
          <w:rFonts w:ascii="Times New Roman" w:hAnsi="Times New Roman" w:cs="Times New Roman"/>
          <w:i/>
          <w:sz w:val="24"/>
          <w:szCs w:val="24"/>
          <w:u w:val="single"/>
        </w:rPr>
        <w:t>en caso de uso mixto se establecerá de forma proporcional.</w:t>
      </w:r>
    </w:p>
    <w:p w14:paraId="012F51DB" w14:textId="77777777" w:rsidR="000E1D11" w:rsidRPr="000E1D11" w:rsidRDefault="000E1D11" w:rsidP="000E1D11">
      <w:pPr>
        <w:ind w:left="851" w:hanging="425"/>
        <w:jc w:val="both"/>
        <w:rPr>
          <w:rFonts w:ascii="Times New Roman" w:hAnsi="Times New Roman" w:cs="Times New Roman"/>
          <w:i/>
          <w:sz w:val="24"/>
          <w:szCs w:val="24"/>
        </w:rPr>
      </w:pPr>
      <w:r w:rsidRPr="000E1D11">
        <w:rPr>
          <w:rFonts w:ascii="Times New Roman" w:hAnsi="Times New Roman" w:cs="Times New Roman"/>
          <w:i/>
          <w:sz w:val="24"/>
          <w:szCs w:val="24"/>
        </w:rPr>
        <w:t xml:space="preserve">4. El Plan Especial determinará, en su caso, la </w:t>
      </w:r>
      <w:r w:rsidRPr="000E1D11">
        <w:rPr>
          <w:rFonts w:ascii="Times New Roman" w:hAnsi="Times New Roman" w:cs="Times New Roman"/>
          <w:i/>
          <w:sz w:val="24"/>
          <w:szCs w:val="24"/>
          <w:u w:val="single"/>
        </w:rPr>
        <w:t>localización de primas de aprovechamiento para usos alternativos al residencial</w:t>
      </w:r>
      <w:r w:rsidRPr="000E1D11">
        <w:rPr>
          <w:rFonts w:ascii="Times New Roman" w:hAnsi="Times New Roman" w:cs="Times New Roman"/>
          <w:i/>
          <w:sz w:val="24"/>
          <w:szCs w:val="24"/>
        </w:rPr>
        <w:t xml:space="preserve">, conforme a lo que disponga en su caso el Plan General, calificando específicamente el suelo para estos usos. </w:t>
      </w:r>
      <w:r w:rsidRPr="000E1D11">
        <w:rPr>
          <w:rFonts w:ascii="Times New Roman" w:hAnsi="Times New Roman" w:cs="Times New Roman"/>
          <w:i/>
          <w:sz w:val="24"/>
          <w:szCs w:val="24"/>
          <w:u w:val="single"/>
        </w:rPr>
        <w:t xml:space="preserve">En su defecto, esta prima será de hasta </w:t>
      </w:r>
      <w:r w:rsidRPr="000E1D11">
        <w:rPr>
          <w:rFonts w:ascii="Times New Roman" w:hAnsi="Times New Roman" w:cs="Times New Roman"/>
          <w:i/>
          <w:sz w:val="24"/>
          <w:szCs w:val="24"/>
        </w:rPr>
        <w:t xml:space="preserve">el </w:t>
      </w:r>
      <w:r w:rsidRPr="000E1D11">
        <w:rPr>
          <w:rFonts w:ascii="Times New Roman" w:hAnsi="Times New Roman" w:cs="Times New Roman"/>
          <w:b/>
          <w:i/>
          <w:sz w:val="24"/>
          <w:szCs w:val="24"/>
        </w:rPr>
        <w:t>20% del aprovechamiento del ámbito de actuación que se destine a dichos usos</w:t>
      </w:r>
      <w:r w:rsidRPr="000E1D11">
        <w:rPr>
          <w:rFonts w:ascii="Times New Roman" w:hAnsi="Times New Roman" w:cs="Times New Roman"/>
          <w:b/>
          <w:i/>
          <w:sz w:val="24"/>
          <w:szCs w:val="24"/>
          <w:u w:val="single"/>
        </w:rPr>
        <w:t>,</w:t>
      </w:r>
      <w:r w:rsidRPr="000E1D11">
        <w:rPr>
          <w:rFonts w:ascii="Times New Roman" w:hAnsi="Times New Roman" w:cs="Times New Roman"/>
          <w:i/>
          <w:sz w:val="24"/>
          <w:szCs w:val="24"/>
          <w:u w:val="single"/>
        </w:rPr>
        <w:t xml:space="preserve"> debiendo prever el aumento correspondiente de dotaciones aplicando los estándares fijados por el planeamiento. En el caso de uso hotelero la prima será la indicada en el apartado 4 del artículo 116 en función de la categoría del hotel.</w:t>
      </w:r>
    </w:p>
    <w:p w14:paraId="279EAB0C" w14:textId="77777777" w:rsidR="000E1D11" w:rsidRPr="000E1D11" w:rsidRDefault="000E1D11" w:rsidP="00D87245">
      <w:pPr>
        <w:ind w:left="851" w:hanging="425"/>
        <w:jc w:val="both"/>
        <w:rPr>
          <w:rFonts w:ascii="Times New Roman" w:hAnsi="Times New Roman" w:cs="Times New Roman"/>
          <w:sz w:val="24"/>
          <w:szCs w:val="24"/>
        </w:rPr>
      </w:pPr>
    </w:p>
    <w:sectPr w:rsidR="000E1D11" w:rsidRPr="000E1D11" w:rsidSect="00D87245">
      <w:headerReference w:type="default" r:id="rId7"/>
      <w:pgSz w:w="11906" w:h="16838"/>
      <w:pgMar w:top="1134" w:right="1416"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48D27" w14:textId="77777777" w:rsidR="00053459" w:rsidRDefault="00053459" w:rsidP="008220DD">
      <w:pPr>
        <w:spacing w:after="0" w:line="240" w:lineRule="auto"/>
      </w:pPr>
      <w:r>
        <w:separator/>
      </w:r>
    </w:p>
  </w:endnote>
  <w:endnote w:type="continuationSeparator" w:id="0">
    <w:p w14:paraId="70A915C4" w14:textId="77777777" w:rsidR="00053459" w:rsidRDefault="00053459" w:rsidP="0082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63CE6" w14:textId="77777777" w:rsidR="00053459" w:rsidRDefault="00053459" w:rsidP="008220DD">
      <w:pPr>
        <w:spacing w:after="0" w:line="240" w:lineRule="auto"/>
      </w:pPr>
      <w:r>
        <w:separator/>
      </w:r>
    </w:p>
  </w:footnote>
  <w:footnote w:type="continuationSeparator" w:id="0">
    <w:p w14:paraId="256FD666" w14:textId="77777777" w:rsidR="00053459" w:rsidRDefault="00053459" w:rsidP="00822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A0CF2" w14:textId="77777777" w:rsidR="008220DD" w:rsidRPr="008220DD" w:rsidRDefault="008220DD" w:rsidP="00D87245">
    <w:pPr>
      <w:tabs>
        <w:tab w:val="center" w:pos="4252"/>
        <w:tab w:val="right" w:pos="8504"/>
      </w:tabs>
      <w:spacing w:after="0" w:line="240" w:lineRule="auto"/>
      <w:ind w:left="426"/>
      <w:rPr>
        <w:rFonts w:ascii="Times New Roman" w:eastAsia="Times New Roman" w:hAnsi="Times New Roman" w:cs="Times New Roman"/>
        <w:b/>
        <w:bCs/>
        <w:lang w:val="es-ES_tradnl" w:eastAsia="es-ES" w:bidi="es-ES"/>
      </w:rPr>
    </w:pPr>
    <w:r w:rsidRPr="008220DD">
      <w:rPr>
        <w:rFonts w:ascii="Times New Roman" w:eastAsia="Times New Roman" w:hAnsi="Times New Roman" w:cs="Times New Roman"/>
        <w:b/>
        <w:bCs/>
        <w:lang w:val="es-ES_tradnl" w:eastAsia="es-ES" w:bidi="es-ES"/>
      </w:rPr>
      <w:t>Escuela de formación COAMU</w:t>
    </w:r>
  </w:p>
  <w:p w14:paraId="0A7F4DC6" w14:textId="77777777" w:rsidR="008220DD" w:rsidRPr="008220DD" w:rsidRDefault="008220DD" w:rsidP="00D87245">
    <w:pPr>
      <w:tabs>
        <w:tab w:val="center" w:pos="4252"/>
        <w:tab w:val="right" w:pos="8504"/>
      </w:tabs>
      <w:spacing w:after="0" w:line="240" w:lineRule="auto"/>
      <w:ind w:left="426"/>
      <w:rPr>
        <w:rFonts w:ascii="Times New Roman" w:eastAsia="Times New Roman" w:hAnsi="Times New Roman" w:cs="Times New Roman"/>
        <w:lang w:val="es-ES_tradnl" w:eastAsia="es-ES" w:bidi="es-ES"/>
      </w:rPr>
    </w:pPr>
    <w:r w:rsidRPr="008220DD">
      <w:rPr>
        <w:rFonts w:ascii="Times New Roman" w:eastAsia="Times New Roman" w:hAnsi="Times New Roman" w:cs="Times New Roman"/>
        <w:b/>
        <w:bCs/>
        <w:lang w:val="es-ES_tradnl" w:eastAsia="es-ES" w:bidi="es-ES"/>
      </w:rPr>
      <w:t>CURSO DE PREPARACION DE OPOSICIONES PARA ARQUITECTOS                       2023</w:t>
    </w:r>
  </w:p>
  <w:p w14:paraId="50D75EB3" w14:textId="77777777" w:rsidR="008220DD" w:rsidRPr="008220DD" w:rsidRDefault="008220DD" w:rsidP="00D87245">
    <w:pPr>
      <w:tabs>
        <w:tab w:val="center" w:pos="4252"/>
        <w:tab w:val="right" w:pos="8504"/>
      </w:tabs>
      <w:spacing w:after="0" w:line="240" w:lineRule="auto"/>
      <w:ind w:left="426"/>
      <w:rPr>
        <w:rFonts w:ascii="Times New Roman" w:eastAsia="Times New Roman" w:hAnsi="Times New Roman" w:cs="Times New Roman"/>
        <w:lang w:val="es-ES_tradnl" w:eastAsia="es-ES" w:bidi="es-ES"/>
      </w:rPr>
    </w:pPr>
    <w:r w:rsidRPr="008220DD">
      <w:rPr>
        <w:rFonts w:ascii="Times New Roman" w:eastAsia="Times New Roman" w:hAnsi="Times New Roman" w:cs="Times New Roman"/>
        <w:lang w:val="es-ES_tradnl" w:eastAsia="es-ES" w:bidi="es-ES"/>
      </w:rPr>
      <w:t>Bloque de Ordenación del Territorio y Urbanismo                                   José María Ródenas Cañada</w:t>
    </w:r>
  </w:p>
  <w:p w14:paraId="6E60C4BF" w14:textId="7158D496" w:rsidR="008220DD" w:rsidRDefault="008220DD" w:rsidP="00D87245">
    <w:pPr>
      <w:pStyle w:val="Encabezado"/>
      <w:ind w:left="426"/>
    </w:pPr>
    <w:r w:rsidRPr="008220DD">
      <w:rPr>
        <w:rFonts w:ascii="Times New Roman" w:eastAsia="Times New Roman" w:hAnsi="Times New Roman" w:cs="Times New Roman"/>
        <w:lang w:eastAsia="es-ES" w:bidi="es-ES"/>
      </w:rPr>
      <w:t>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74FE3"/>
    <w:multiLevelType w:val="hybridMultilevel"/>
    <w:tmpl w:val="48264D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D92421"/>
    <w:multiLevelType w:val="hybridMultilevel"/>
    <w:tmpl w:val="9D426260"/>
    <w:lvl w:ilvl="0" w:tplc="90C41DFE">
      <w:start w:val="1"/>
      <w:numFmt w:val="decimal"/>
      <w:lvlText w:val="%1."/>
      <w:lvlJc w:val="left"/>
      <w:pPr>
        <w:ind w:left="124" w:hanging="252"/>
      </w:pPr>
      <w:rPr>
        <w:rFonts w:ascii="Times New Roman" w:eastAsia="Times New Roman" w:hAnsi="Times New Roman" w:cs="Times New Roman" w:hint="default"/>
        <w:i/>
        <w:w w:val="100"/>
        <w:sz w:val="24"/>
        <w:szCs w:val="24"/>
        <w:lang w:val="es-ES" w:eastAsia="es-ES" w:bidi="es-ES"/>
      </w:rPr>
    </w:lvl>
    <w:lvl w:ilvl="1" w:tplc="00621A82">
      <w:numFmt w:val="bullet"/>
      <w:lvlText w:val="•"/>
      <w:lvlJc w:val="left"/>
      <w:pPr>
        <w:ind w:left="1082" w:hanging="252"/>
      </w:pPr>
      <w:rPr>
        <w:rFonts w:hint="default"/>
        <w:lang w:val="es-ES" w:eastAsia="es-ES" w:bidi="es-ES"/>
      </w:rPr>
    </w:lvl>
    <w:lvl w:ilvl="2" w:tplc="66F07BB2">
      <w:numFmt w:val="bullet"/>
      <w:lvlText w:val="•"/>
      <w:lvlJc w:val="left"/>
      <w:pPr>
        <w:ind w:left="2044" w:hanging="252"/>
      </w:pPr>
      <w:rPr>
        <w:rFonts w:hint="default"/>
        <w:lang w:val="es-ES" w:eastAsia="es-ES" w:bidi="es-ES"/>
      </w:rPr>
    </w:lvl>
    <w:lvl w:ilvl="3" w:tplc="D1901478">
      <w:numFmt w:val="bullet"/>
      <w:lvlText w:val="•"/>
      <w:lvlJc w:val="left"/>
      <w:pPr>
        <w:ind w:left="3006" w:hanging="252"/>
      </w:pPr>
      <w:rPr>
        <w:rFonts w:hint="default"/>
        <w:lang w:val="es-ES" w:eastAsia="es-ES" w:bidi="es-ES"/>
      </w:rPr>
    </w:lvl>
    <w:lvl w:ilvl="4" w:tplc="7DB4E378">
      <w:numFmt w:val="bullet"/>
      <w:lvlText w:val="•"/>
      <w:lvlJc w:val="left"/>
      <w:pPr>
        <w:ind w:left="3968" w:hanging="252"/>
      </w:pPr>
      <w:rPr>
        <w:rFonts w:hint="default"/>
        <w:lang w:val="es-ES" w:eastAsia="es-ES" w:bidi="es-ES"/>
      </w:rPr>
    </w:lvl>
    <w:lvl w:ilvl="5" w:tplc="3152894A">
      <w:numFmt w:val="bullet"/>
      <w:lvlText w:val="•"/>
      <w:lvlJc w:val="left"/>
      <w:pPr>
        <w:ind w:left="4930" w:hanging="252"/>
      </w:pPr>
      <w:rPr>
        <w:rFonts w:hint="default"/>
        <w:lang w:val="es-ES" w:eastAsia="es-ES" w:bidi="es-ES"/>
      </w:rPr>
    </w:lvl>
    <w:lvl w:ilvl="6" w:tplc="4F3AD8B8">
      <w:numFmt w:val="bullet"/>
      <w:lvlText w:val="•"/>
      <w:lvlJc w:val="left"/>
      <w:pPr>
        <w:ind w:left="5892" w:hanging="252"/>
      </w:pPr>
      <w:rPr>
        <w:rFonts w:hint="default"/>
        <w:lang w:val="es-ES" w:eastAsia="es-ES" w:bidi="es-ES"/>
      </w:rPr>
    </w:lvl>
    <w:lvl w:ilvl="7" w:tplc="8DEE44B8">
      <w:numFmt w:val="bullet"/>
      <w:lvlText w:val="•"/>
      <w:lvlJc w:val="left"/>
      <w:pPr>
        <w:ind w:left="6854" w:hanging="252"/>
      </w:pPr>
      <w:rPr>
        <w:rFonts w:hint="default"/>
        <w:lang w:val="es-ES" w:eastAsia="es-ES" w:bidi="es-ES"/>
      </w:rPr>
    </w:lvl>
    <w:lvl w:ilvl="8" w:tplc="94B44E08">
      <w:numFmt w:val="bullet"/>
      <w:lvlText w:val="•"/>
      <w:lvlJc w:val="left"/>
      <w:pPr>
        <w:ind w:left="7816" w:hanging="252"/>
      </w:pPr>
      <w:rPr>
        <w:rFonts w:hint="default"/>
        <w:lang w:val="es-ES" w:eastAsia="es-ES" w:bidi="es-ES"/>
      </w:rPr>
    </w:lvl>
  </w:abstractNum>
  <w:abstractNum w:abstractNumId="2">
    <w:nsid w:val="439B6204"/>
    <w:multiLevelType w:val="hybridMultilevel"/>
    <w:tmpl w:val="FB94F14C"/>
    <w:lvl w:ilvl="0" w:tplc="88B2ABF8">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A4067A"/>
    <w:multiLevelType w:val="hybridMultilevel"/>
    <w:tmpl w:val="35B84E4A"/>
    <w:lvl w:ilvl="0" w:tplc="2F263F28">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453F32C2"/>
    <w:multiLevelType w:val="hybridMultilevel"/>
    <w:tmpl w:val="48264D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A9C114B"/>
    <w:multiLevelType w:val="hybridMultilevel"/>
    <w:tmpl w:val="8F4E0F12"/>
    <w:lvl w:ilvl="0" w:tplc="AFE6B1F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54F0738"/>
    <w:multiLevelType w:val="hybridMultilevel"/>
    <w:tmpl w:val="AFA2481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573A94"/>
    <w:multiLevelType w:val="hybridMultilevel"/>
    <w:tmpl w:val="02A258F4"/>
    <w:lvl w:ilvl="0" w:tplc="BDA4C97A">
      <w:start w:val="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7E177988"/>
    <w:multiLevelType w:val="hybridMultilevel"/>
    <w:tmpl w:val="10BEBCF2"/>
    <w:lvl w:ilvl="0" w:tplc="C80AC7CA">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EE9782B"/>
    <w:multiLevelType w:val="hybridMultilevel"/>
    <w:tmpl w:val="48264D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7"/>
  </w:num>
  <w:num w:numId="5">
    <w:abstractNumId w:val="8"/>
  </w:num>
  <w:num w:numId="6">
    <w:abstractNumId w:val="2"/>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FF"/>
    <w:rsid w:val="00016D24"/>
    <w:rsid w:val="00053459"/>
    <w:rsid w:val="000D3ACD"/>
    <w:rsid w:val="000E1D11"/>
    <w:rsid w:val="00210A05"/>
    <w:rsid w:val="00282A09"/>
    <w:rsid w:val="00317543"/>
    <w:rsid w:val="003948BE"/>
    <w:rsid w:val="003E609D"/>
    <w:rsid w:val="00414A2C"/>
    <w:rsid w:val="00470CD2"/>
    <w:rsid w:val="004B646E"/>
    <w:rsid w:val="00530C1D"/>
    <w:rsid w:val="00542FF1"/>
    <w:rsid w:val="005548E0"/>
    <w:rsid w:val="00745E21"/>
    <w:rsid w:val="007E33FF"/>
    <w:rsid w:val="008220DD"/>
    <w:rsid w:val="00A53042"/>
    <w:rsid w:val="00A96FE9"/>
    <w:rsid w:val="00AF6B2C"/>
    <w:rsid w:val="00BD2FAF"/>
    <w:rsid w:val="00C645BE"/>
    <w:rsid w:val="00CB2384"/>
    <w:rsid w:val="00D850F3"/>
    <w:rsid w:val="00D87245"/>
    <w:rsid w:val="00EA47DD"/>
    <w:rsid w:val="00F423CB"/>
    <w:rsid w:val="00FB76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AED6E"/>
  <w15:chartTrackingRefBased/>
  <w15:docId w15:val="{342312EB-0C56-40D6-B86A-3A137ABD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2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16D24"/>
    <w:pPr>
      <w:spacing w:before="100" w:beforeAutospacing="1" w:after="100" w:afterAutospacing="1" w:line="240" w:lineRule="auto"/>
    </w:pPr>
    <w:rPr>
      <w:rFonts w:ascii="Calibri" w:eastAsiaTheme="minorEastAsia" w:hAnsi="Calibri" w:cs="Calibri"/>
      <w:lang w:eastAsia="es-ES"/>
    </w:rPr>
  </w:style>
  <w:style w:type="paragraph" w:styleId="Textodeglobo">
    <w:name w:val="Balloon Text"/>
    <w:basedOn w:val="Normal"/>
    <w:link w:val="TextodegloboCar"/>
    <w:uiPriority w:val="99"/>
    <w:semiHidden/>
    <w:unhideWhenUsed/>
    <w:rsid w:val="00745E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E21"/>
    <w:rPr>
      <w:rFonts w:ascii="Segoe UI" w:hAnsi="Segoe UI" w:cs="Segoe UI"/>
      <w:sz w:val="18"/>
      <w:szCs w:val="18"/>
    </w:rPr>
  </w:style>
  <w:style w:type="paragraph" w:styleId="Encabezado">
    <w:name w:val="header"/>
    <w:basedOn w:val="Normal"/>
    <w:link w:val="EncabezadoCar"/>
    <w:uiPriority w:val="99"/>
    <w:unhideWhenUsed/>
    <w:rsid w:val="008220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20DD"/>
  </w:style>
  <w:style w:type="paragraph" w:styleId="Piedepgina">
    <w:name w:val="footer"/>
    <w:basedOn w:val="Normal"/>
    <w:link w:val="PiedepginaCar"/>
    <w:uiPriority w:val="99"/>
    <w:unhideWhenUsed/>
    <w:rsid w:val="008220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20DD"/>
  </w:style>
  <w:style w:type="paragraph" w:styleId="Prrafodelista">
    <w:name w:val="List Paragraph"/>
    <w:basedOn w:val="Normal"/>
    <w:uiPriority w:val="34"/>
    <w:qFormat/>
    <w:rsid w:val="00822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5249">
      <w:bodyDiv w:val="1"/>
      <w:marLeft w:val="0"/>
      <w:marRight w:val="0"/>
      <w:marTop w:val="0"/>
      <w:marBottom w:val="0"/>
      <w:divBdr>
        <w:top w:val="none" w:sz="0" w:space="0" w:color="auto"/>
        <w:left w:val="none" w:sz="0" w:space="0" w:color="auto"/>
        <w:bottom w:val="none" w:sz="0" w:space="0" w:color="auto"/>
        <w:right w:val="none" w:sz="0" w:space="0" w:color="auto"/>
      </w:divBdr>
    </w:div>
    <w:div w:id="736131080">
      <w:bodyDiv w:val="1"/>
      <w:marLeft w:val="0"/>
      <w:marRight w:val="0"/>
      <w:marTop w:val="0"/>
      <w:marBottom w:val="0"/>
      <w:divBdr>
        <w:top w:val="none" w:sz="0" w:space="0" w:color="auto"/>
        <w:left w:val="none" w:sz="0" w:space="0" w:color="auto"/>
        <w:bottom w:val="none" w:sz="0" w:space="0" w:color="auto"/>
        <w:right w:val="none" w:sz="0" w:space="0" w:color="auto"/>
      </w:divBdr>
    </w:div>
    <w:div w:id="1060446608">
      <w:bodyDiv w:val="1"/>
      <w:marLeft w:val="0"/>
      <w:marRight w:val="0"/>
      <w:marTop w:val="0"/>
      <w:marBottom w:val="0"/>
      <w:divBdr>
        <w:top w:val="none" w:sz="0" w:space="0" w:color="auto"/>
        <w:left w:val="none" w:sz="0" w:space="0" w:color="auto"/>
        <w:bottom w:val="none" w:sz="0" w:space="0" w:color="auto"/>
        <w:right w:val="none" w:sz="0" w:space="0" w:color="auto"/>
      </w:divBdr>
      <w:divsChild>
        <w:div w:id="296381212">
          <w:marLeft w:val="0"/>
          <w:marRight w:val="0"/>
          <w:marTop w:val="0"/>
          <w:marBottom w:val="0"/>
          <w:divBdr>
            <w:top w:val="none" w:sz="0" w:space="0" w:color="auto"/>
            <w:left w:val="none" w:sz="0" w:space="0" w:color="auto"/>
            <w:bottom w:val="none" w:sz="0" w:space="0" w:color="auto"/>
            <w:right w:val="none" w:sz="0" w:space="0" w:color="auto"/>
          </w:divBdr>
        </w:div>
      </w:divsChild>
    </w:div>
    <w:div w:id="1621065589">
      <w:bodyDiv w:val="1"/>
      <w:marLeft w:val="0"/>
      <w:marRight w:val="0"/>
      <w:marTop w:val="0"/>
      <w:marBottom w:val="0"/>
      <w:divBdr>
        <w:top w:val="none" w:sz="0" w:space="0" w:color="auto"/>
        <w:left w:val="none" w:sz="0" w:space="0" w:color="auto"/>
        <w:bottom w:val="none" w:sz="0" w:space="0" w:color="auto"/>
        <w:right w:val="none" w:sz="0" w:space="0" w:color="auto"/>
      </w:divBdr>
      <w:divsChild>
        <w:div w:id="855729819">
          <w:marLeft w:val="0"/>
          <w:marRight w:val="0"/>
          <w:marTop w:val="0"/>
          <w:marBottom w:val="0"/>
          <w:divBdr>
            <w:top w:val="none" w:sz="0" w:space="0" w:color="auto"/>
            <w:left w:val="none" w:sz="0" w:space="0" w:color="auto"/>
            <w:bottom w:val="none" w:sz="0" w:space="0" w:color="auto"/>
            <w:right w:val="none" w:sz="0" w:space="0" w:color="auto"/>
          </w:divBdr>
        </w:div>
      </w:divsChild>
    </w:div>
    <w:div w:id="19953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2034</Words>
  <Characters>11192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María Ródenas Cañada</dc:creator>
  <cp:keywords/>
  <dc:description/>
  <cp:lastModifiedBy>Jose María Ródenas Cañada</cp:lastModifiedBy>
  <cp:revision>3</cp:revision>
  <cp:lastPrinted>2022-07-14T10:07:00Z</cp:lastPrinted>
  <dcterms:created xsi:type="dcterms:W3CDTF">2023-05-25T18:46:00Z</dcterms:created>
  <dcterms:modified xsi:type="dcterms:W3CDTF">2023-05-25T18:49:00Z</dcterms:modified>
</cp:coreProperties>
</file>